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6B381" w14:textId="7FF5C77C" w:rsidR="00B34C9C" w:rsidRDefault="0063517F">
      <w:pPr>
        <w:rPr>
          <w:color w:val="61D6FF"/>
          <w:sz w:val="20"/>
          <w:szCs w:val="20"/>
        </w:rPr>
      </w:pPr>
      <w:r>
        <w:rPr>
          <w:noProof/>
          <w:color w:val="61D6FF"/>
          <w:sz w:val="20"/>
          <w:szCs w:val="20"/>
        </w:rPr>
        <mc:AlternateContent>
          <mc:Choice Requires="wps">
            <w:drawing>
              <wp:anchor distT="0" distB="0" distL="114300" distR="114300" simplePos="0" relativeHeight="251660288" behindDoc="0" locked="0" layoutInCell="1" allowOverlap="1" wp14:anchorId="37F98892" wp14:editId="2493E943">
                <wp:simplePos x="0" y="0"/>
                <wp:positionH relativeFrom="column">
                  <wp:posOffset>-285115</wp:posOffset>
                </wp:positionH>
                <wp:positionV relativeFrom="paragraph">
                  <wp:posOffset>935990</wp:posOffset>
                </wp:positionV>
                <wp:extent cx="5638800" cy="3489960"/>
                <wp:effectExtent l="0" t="0" r="0" b="0"/>
                <wp:wrapNone/>
                <wp:docPr id="1689634056" name="Zone de texte 1"/>
                <wp:cNvGraphicFramePr/>
                <a:graphic xmlns:a="http://schemas.openxmlformats.org/drawingml/2006/main">
                  <a:graphicData uri="http://schemas.microsoft.com/office/word/2010/wordprocessingShape">
                    <wps:wsp>
                      <wps:cNvSpPr txBox="1"/>
                      <wps:spPr>
                        <a:xfrm>
                          <a:off x="0" y="0"/>
                          <a:ext cx="5638800" cy="3489960"/>
                        </a:xfrm>
                        <a:prstGeom prst="rect">
                          <a:avLst/>
                        </a:prstGeom>
                        <a:noFill/>
                        <a:ln w="6350">
                          <a:noFill/>
                        </a:ln>
                      </wps:spPr>
                      <wps:txbx>
                        <w:txbxContent>
                          <w:p w14:paraId="40B5CEF6" w14:textId="7232D8A7" w:rsidR="00E22AE9" w:rsidRPr="0063517F" w:rsidRDefault="0063517F" w:rsidP="00E22AE9">
                            <w:pPr>
                              <w:rPr>
                                <w:color w:val="FFFFFF" w:themeColor="background1"/>
                                <w:sz w:val="56"/>
                                <w:szCs w:val="56"/>
                                <w:lang w:val="fr-FR"/>
                              </w:rPr>
                            </w:pPr>
                            <w:proofErr w:type="spellStart"/>
                            <w:r w:rsidRPr="0063517F">
                              <w:rPr>
                                <w:color w:val="FFFFFF" w:themeColor="background1"/>
                                <w:sz w:val="56"/>
                                <w:szCs w:val="56"/>
                                <w:lang w:val="es-ES"/>
                              </w:rPr>
                              <w:t>Sesion</w:t>
                            </w:r>
                            <w:proofErr w:type="spellEnd"/>
                            <w:r w:rsidRPr="0063517F">
                              <w:rPr>
                                <w:color w:val="FFFFFF" w:themeColor="background1"/>
                                <w:sz w:val="56"/>
                                <w:szCs w:val="56"/>
                                <w:lang w:val="es-ES"/>
                              </w:rPr>
                              <w:t xml:space="preserve"> del grupo de trabajo de los Bancos </w:t>
                            </w:r>
                            <w:proofErr w:type="spellStart"/>
                            <w:r w:rsidRPr="0063517F">
                              <w:rPr>
                                <w:color w:val="FFFFFF" w:themeColor="background1"/>
                                <w:sz w:val="56"/>
                                <w:szCs w:val="56"/>
                                <w:lang w:val="es-ES"/>
                              </w:rPr>
                              <w:t>Publicos</w:t>
                            </w:r>
                            <w:proofErr w:type="spellEnd"/>
                            <w:r w:rsidRPr="0063517F">
                              <w:rPr>
                                <w:color w:val="FFFFFF" w:themeColor="background1"/>
                                <w:sz w:val="56"/>
                                <w:szCs w:val="56"/>
                                <w:lang w:val="es-ES"/>
                              </w:rPr>
                              <w:t xml:space="preserve"> de Desarrollo </w:t>
                            </w:r>
                            <w:proofErr w:type="spellStart"/>
                            <w:r w:rsidRPr="0063517F">
                              <w:rPr>
                                <w:color w:val="FFFFFF" w:themeColor="background1"/>
                                <w:sz w:val="56"/>
                                <w:szCs w:val="56"/>
                                <w:lang w:val="es-ES"/>
                              </w:rPr>
                              <w:t>Agricola</w:t>
                            </w:r>
                            <w:proofErr w:type="spellEnd"/>
                            <w:r w:rsidRPr="0063517F">
                              <w:rPr>
                                <w:color w:val="FFFFFF" w:themeColor="background1"/>
                                <w:sz w:val="56"/>
                                <w:szCs w:val="56"/>
                                <w:lang w:val="es-ES"/>
                              </w:rPr>
                              <w:t xml:space="preserve"> (BPDA) sobre el tema</w:t>
                            </w:r>
                          </w:p>
                          <w:p w14:paraId="19D17CA7" w14:textId="77777777" w:rsidR="00E22AE9" w:rsidRPr="0063517F" w:rsidRDefault="00E22AE9" w:rsidP="00E22AE9">
                            <w:pPr>
                              <w:rPr>
                                <w:color w:val="FFFFFF" w:themeColor="background1"/>
                                <w:sz w:val="12"/>
                                <w:szCs w:val="12"/>
                                <w:lang w:val="fr-FR"/>
                              </w:rPr>
                            </w:pPr>
                          </w:p>
                          <w:p w14:paraId="0315EEDE" w14:textId="75404C6D" w:rsidR="00E22AE9" w:rsidRPr="0063517F" w:rsidRDefault="0063517F" w:rsidP="00E22AE9">
                            <w:pPr>
                              <w:rPr>
                                <w:i/>
                                <w:iCs/>
                                <w:color w:val="FFFFFF" w:themeColor="background1"/>
                                <w:sz w:val="52"/>
                                <w:szCs w:val="52"/>
                                <w:lang w:val="es-CO"/>
                              </w:rPr>
                            </w:pPr>
                            <w:r w:rsidRPr="0063517F">
                              <w:rPr>
                                <w:i/>
                                <w:iCs/>
                                <w:color w:val="FFFFFF" w:themeColor="background1"/>
                                <w:sz w:val="52"/>
                                <w:szCs w:val="52"/>
                                <w:lang w:val="es-ES"/>
                              </w:rPr>
                              <w:t>¿Qué herramientas para</w:t>
                            </w:r>
                            <w:r>
                              <w:rPr>
                                <w:i/>
                                <w:iCs/>
                                <w:color w:val="FFFFFF" w:themeColor="background1"/>
                                <w:sz w:val="52"/>
                                <w:szCs w:val="52"/>
                                <w:lang w:val="es-ES"/>
                              </w:rPr>
                              <w:br/>
                            </w:r>
                            <w:r w:rsidRPr="0063517F">
                              <w:rPr>
                                <w:i/>
                                <w:iCs/>
                                <w:color w:val="FFFFFF" w:themeColor="background1"/>
                                <w:sz w:val="52"/>
                                <w:szCs w:val="52"/>
                                <w:lang w:val="es-ES"/>
                              </w:rPr>
                              <w:t xml:space="preserve"> financiar la adaptación </w:t>
                            </w:r>
                            <w:r>
                              <w:rPr>
                                <w:i/>
                                <w:iCs/>
                                <w:color w:val="FFFFFF" w:themeColor="background1"/>
                                <w:sz w:val="52"/>
                                <w:szCs w:val="52"/>
                                <w:lang w:val="es-ES"/>
                              </w:rPr>
                              <w:br/>
                            </w:r>
                            <w:r w:rsidRPr="0063517F">
                              <w:rPr>
                                <w:i/>
                                <w:iCs/>
                                <w:color w:val="FFFFFF" w:themeColor="background1"/>
                                <w:sz w:val="52"/>
                                <w:szCs w:val="52"/>
                                <w:lang w:val="es-ES"/>
                              </w:rPr>
                              <w:t>al cambio climático?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98892" id="_x0000_t202" coordsize="21600,21600" o:spt="202" path="m,l,21600r21600,l21600,xe">
                <v:stroke joinstyle="miter"/>
                <v:path gradientshapeok="t" o:connecttype="rect"/>
              </v:shapetype>
              <v:shape id="Zone de texte 1" o:spid="_x0000_s1026" type="#_x0000_t202" style="position:absolute;margin-left:-22.45pt;margin-top:73.7pt;width:444pt;height:2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HHGAIAAC0EAAAOAAAAZHJzL2Uyb0RvYy54bWysU9uO2yAQfa/Uf0C8N3auTaw4q3RXqSqt&#10;dlfKrvaZYIgtYYYCiZ1+fQfsXLTtU9UXGJhhLucclndtrchRWFeBzulwkFIiNIei0vucvr1uvswp&#10;cZ7pginQIqcn4ejd6vOnZWMyMYISVCEswSTaZY3Jaem9yZLE8VLUzA3ACI1OCbZmHo92nxSWNZi9&#10;VskoTWdJA7YwFrhwDm8fOiddxfxSCu6fpXTCE5VT7M3H1cZ1F9ZktWTZ3jJTVrxvg/1DFzWrNBa9&#10;pHpgnpGDrf5IVVfcggPpBxzqBKSsuIgz4DTD9MM025IZEWdBcJy5wOT+X1r+dNyaF0t8+w1aJDAA&#10;0hiXObwM87TS1mHHTgn6EcLTBTbResLxcjobz+cpujj6xpP5YjGLwCbX58Y6/11ATYKRU4u8RLjY&#10;8dF5LImh55BQTcOmUipyozRpcjobT9P44OLBF0rjw2uzwfLtru0n2EFxwsEsdJw7wzcVFn9kzr8w&#10;iyRjwyhc/4yLVIBFoLcoKcH++tt9iEfs0UtJg6LJqft5YFZQon5oZGUxnEyCyuJhMv06woO99exu&#10;PfpQ3wPqcohfxPBohnivzqa0UL+jvtehKrqY5lg7p/5s3vtOyvg/uFivYxDqyjD/qLeGh9QBzgDt&#10;a/vOrOnx90jdE5zlxbIPNHSxHRHrgwdZRY4CwB2qPe6oyUhd/3+C6G/PMer6y1e/AQAA//8DAFBL&#10;AwQUAAYACAAAACEAYHfwB+MAAAALAQAADwAAAGRycy9kb3ducmV2LnhtbEyPTU/CQBRF9yb+h8kz&#10;cQdTcIRSOyWkCTExsgDZuHvtDG3jfNTOANVf73Oly5d7cu95+Xq0hl30EDrvJMymCTDtaq8610g4&#10;vm0nKbAQ0Sk03mkJXzrAuri9yTFT/ur2+nKIDaMSFzKU0MbYZ5yHutUWw9T32lF28oPFSOfQcDXg&#10;lcqt4fMkWXCLnaOFFntdtrr+OJythJdyu8N9NbfptymfX0+b/vP4/ijl/d24eQIW9Rj/YPjVJ3Uo&#10;yKnyZ6cCMxImQqwIpUAsBTAiUvEwA1ZJWKyWCfAi5/9/KH4AAAD//wMAUEsBAi0AFAAGAAgAAAAh&#10;ALaDOJL+AAAA4QEAABMAAAAAAAAAAAAAAAAAAAAAAFtDb250ZW50X1R5cGVzXS54bWxQSwECLQAU&#10;AAYACAAAACEAOP0h/9YAAACUAQAACwAAAAAAAAAAAAAAAAAvAQAAX3JlbHMvLnJlbHNQSwECLQAU&#10;AAYACAAAACEAijTBxxgCAAAtBAAADgAAAAAAAAAAAAAAAAAuAgAAZHJzL2Uyb0RvYy54bWxQSwEC&#10;LQAUAAYACAAAACEAYHfwB+MAAAALAQAADwAAAAAAAAAAAAAAAAByBAAAZHJzL2Rvd25yZXYueG1s&#10;UEsFBgAAAAAEAAQA8wAAAIIFAAAAAA==&#10;" filled="f" stroked="f" strokeweight=".5pt">
                <v:textbox>
                  <w:txbxContent>
                    <w:p w14:paraId="40B5CEF6" w14:textId="7232D8A7" w:rsidR="00E22AE9" w:rsidRPr="0063517F" w:rsidRDefault="0063517F" w:rsidP="00E22AE9">
                      <w:pPr>
                        <w:rPr>
                          <w:color w:val="FFFFFF" w:themeColor="background1"/>
                          <w:sz w:val="56"/>
                          <w:szCs w:val="56"/>
                          <w:lang w:val="fr-FR"/>
                        </w:rPr>
                      </w:pPr>
                      <w:proofErr w:type="spellStart"/>
                      <w:r w:rsidRPr="0063517F">
                        <w:rPr>
                          <w:color w:val="FFFFFF" w:themeColor="background1"/>
                          <w:sz w:val="56"/>
                          <w:szCs w:val="56"/>
                          <w:lang w:val="es-ES"/>
                        </w:rPr>
                        <w:t>Sesion</w:t>
                      </w:r>
                      <w:proofErr w:type="spellEnd"/>
                      <w:r w:rsidRPr="0063517F">
                        <w:rPr>
                          <w:color w:val="FFFFFF" w:themeColor="background1"/>
                          <w:sz w:val="56"/>
                          <w:szCs w:val="56"/>
                          <w:lang w:val="es-ES"/>
                        </w:rPr>
                        <w:t xml:space="preserve"> del grupo de trabajo de los Bancos </w:t>
                      </w:r>
                      <w:proofErr w:type="spellStart"/>
                      <w:r w:rsidRPr="0063517F">
                        <w:rPr>
                          <w:color w:val="FFFFFF" w:themeColor="background1"/>
                          <w:sz w:val="56"/>
                          <w:szCs w:val="56"/>
                          <w:lang w:val="es-ES"/>
                        </w:rPr>
                        <w:t>Publicos</w:t>
                      </w:r>
                      <w:proofErr w:type="spellEnd"/>
                      <w:r w:rsidRPr="0063517F">
                        <w:rPr>
                          <w:color w:val="FFFFFF" w:themeColor="background1"/>
                          <w:sz w:val="56"/>
                          <w:szCs w:val="56"/>
                          <w:lang w:val="es-ES"/>
                        </w:rPr>
                        <w:t xml:space="preserve"> de Desarrollo </w:t>
                      </w:r>
                      <w:proofErr w:type="spellStart"/>
                      <w:r w:rsidRPr="0063517F">
                        <w:rPr>
                          <w:color w:val="FFFFFF" w:themeColor="background1"/>
                          <w:sz w:val="56"/>
                          <w:szCs w:val="56"/>
                          <w:lang w:val="es-ES"/>
                        </w:rPr>
                        <w:t>Agricola</w:t>
                      </w:r>
                      <w:proofErr w:type="spellEnd"/>
                      <w:r w:rsidRPr="0063517F">
                        <w:rPr>
                          <w:color w:val="FFFFFF" w:themeColor="background1"/>
                          <w:sz w:val="56"/>
                          <w:szCs w:val="56"/>
                          <w:lang w:val="es-ES"/>
                        </w:rPr>
                        <w:t xml:space="preserve"> (BPDA) sobre el tema</w:t>
                      </w:r>
                    </w:p>
                    <w:p w14:paraId="19D17CA7" w14:textId="77777777" w:rsidR="00E22AE9" w:rsidRPr="0063517F" w:rsidRDefault="00E22AE9" w:rsidP="00E22AE9">
                      <w:pPr>
                        <w:rPr>
                          <w:color w:val="FFFFFF" w:themeColor="background1"/>
                          <w:sz w:val="12"/>
                          <w:szCs w:val="12"/>
                          <w:lang w:val="fr-FR"/>
                        </w:rPr>
                      </w:pPr>
                    </w:p>
                    <w:p w14:paraId="0315EEDE" w14:textId="75404C6D" w:rsidR="00E22AE9" w:rsidRPr="0063517F" w:rsidRDefault="0063517F" w:rsidP="00E22AE9">
                      <w:pPr>
                        <w:rPr>
                          <w:i/>
                          <w:iCs/>
                          <w:color w:val="FFFFFF" w:themeColor="background1"/>
                          <w:sz w:val="52"/>
                          <w:szCs w:val="52"/>
                          <w:lang w:val="es-CO"/>
                        </w:rPr>
                      </w:pPr>
                      <w:r w:rsidRPr="0063517F">
                        <w:rPr>
                          <w:i/>
                          <w:iCs/>
                          <w:color w:val="FFFFFF" w:themeColor="background1"/>
                          <w:sz w:val="52"/>
                          <w:szCs w:val="52"/>
                          <w:lang w:val="es-ES"/>
                        </w:rPr>
                        <w:t>¿Qué herramientas para</w:t>
                      </w:r>
                      <w:r>
                        <w:rPr>
                          <w:i/>
                          <w:iCs/>
                          <w:color w:val="FFFFFF" w:themeColor="background1"/>
                          <w:sz w:val="52"/>
                          <w:szCs w:val="52"/>
                          <w:lang w:val="es-ES"/>
                        </w:rPr>
                        <w:br/>
                      </w:r>
                      <w:r w:rsidRPr="0063517F">
                        <w:rPr>
                          <w:i/>
                          <w:iCs/>
                          <w:color w:val="FFFFFF" w:themeColor="background1"/>
                          <w:sz w:val="52"/>
                          <w:szCs w:val="52"/>
                          <w:lang w:val="es-ES"/>
                        </w:rPr>
                        <w:t xml:space="preserve"> financiar la adaptación </w:t>
                      </w:r>
                      <w:r>
                        <w:rPr>
                          <w:i/>
                          <w:iCs/>
                          <w:color w:val="FFFFFF" w:themeColor="background1"/>
                          <w:sz w:val="52"/>
                          <w:szCs w:val="52"/>
                          <w:lang w:val="es-ES"/>
                        </w:rPr>
                        <w:br/>
                      </w:r>
                      <w:r w:rsidRPr="0063517F">
                        <w:rPr>
                          <w:i/>
                          <w:iCs/>
                          <w:color w:val="FFFFFF" w:themeColor="background1"/>
                          <w:sz w:val="52"/>
                          <w:szCs w:val="52"/>
                          <w:lang w:val="es-ES"/>
                        </w:rPr>
                        <w:t>al cambio climático?</w:t>
                      </w:r>
                    </w:p>
                  </w:txbxContent>
                </v:textbox>
              </v:shape>
            </w:pict>
          </mc:Fallback>
        </mc:AlternateContent>
      </w:r>
      <w:r w:rsidR="00E22AE9">
        <w:rPr>
          <w:noProof/>
          <w:color w:val="61D6FF"/>
          <w:sz w:val="20"/>
          <w:szCs w:val="20"/>
        </w:rPr>
        <mc:AlternateContent>
          <mc:Choice Requires="wps">
            <w:drawing>
              <wp:anchor distT="0" distB="0" distL="114300" distR="114300" simplePos="0" relativeHeight="251661312" behindDoc="0" locked="0" layoutInCell="1" allowOverlap="1" wp14:anchorId="37FAEEB7" wp14:editId="4B9F96FC">
                <wp:simplePos x="0" y="0"/>
                <wp:positionH relativeFrom="column">
                  <wp:posOffset>-264160</wp:posOffset>
                </wp:positionH>
                <wp:positionV relativeFrom="paragraph">
                  <wp:posOffset>4542155</wp:posOffset>
                </wp:positionV>
                <wp:extent cx="1596390" cy="459740"/>
                <wp:effectExtent l="0" t="0" r="0" b="0"/>
                <wp:wrapNone/>
                <wp:docPr id="1700858260" name="Zone de texte 1"/>
                <wp:cNvGraphicFramePr/>
                <a:graphic xmlns:a="http://schemas.openxmlformats.org/drawingml/2006/main">
                  <a:graphicData uri="http://schemas.microsoft.com/office/word/2010/wordprocessingShape">
                    <wps:wsp>
                      <wps:cNvSpPr txBox="1"/>
                      <wps:spPr>
                        <a:xfrm>
                          <a:off x="0" y="0"/>
                          <a:ext cx="1596390" cy="459740"/>
                        </a:xfrm>
                        <a:prstGeom prst="rect">
                          <a:avLst/>
                        </a:prstGeom>
                        <a:noFill/>
                        <a:ln w="6350">
                          <a:noFill/>
                        </a:ln>
                      </wps:spPr>
                      <wps:txbx>
                        <w:txbxContent>
                          <w:p w14:paraId="0DF5841E" w14:textId="1BEF2C6B" w:rsidR="00E22AE9" w:rsidRPr="00E22AE9" w:rsidRDefault="0063517F" w:rsidP="00E22AE9">
                            <w:pPr>
                              <w:rPr>
                                <w:color w:val="05DC91"/>
                                <w:sz w:val="24"/>
                                <w:szCs w:val="24"/>
                                <w:lang w:val="fr-FR"/>
                              </w:rPr>
                            </w:pPr>
                            <w:r w:rsidRPr="0063517F">
                              <w:rPr>
                                <w:color w:val="05DC91"/>
                                <w:sz w:val="24"/>
                                <w:szCs w:val="24"/>
                                <w:lang w:val="fr-FR"/>
                              </w:rPr>
                              <w:t>25</w:t>
                            </w:r>
                            <w:r>
                              <w:rPr>
                                <w:color w:val="05DC91"/>
                                <w:sz w:val="24"/>
                                <w:szCs w:val="24"/>
                                <w:lang w:val="fr-FR"/>
                              </w:rPr>
                              <w:t>.</w:t>
                            </w:r>
                            <w:r w:rsidRPr="0063517F">
                              <w:rPr>
                                <w:color w:val="05DC91"/>
                                <w:sz w:val="24"/>
                                <w:szCs w:val="24"/>
                                <w:lang w:val="fr-FR"/>
                              </w:rPr>
                              <w:t>05</w:t>
                            </w:r>
                            <w:r>
                              <w:rPr>
                                <w:color w:val="05DC91"/>
                                <w:sz w:val="24"/>
                                <w:szCs w:val="24"/>
                                <w:lang w:val="fr-FR"/>
                              </w:rPr>
                              <w:t>.</w:t>
                            </w:r>
                            <w:r w:rsidRPr="0063517F">
                              <w:rPr>
                                <w:color w:val="05DC91"/>
                                <w:sz w:val="24"/>
                                <w:szCs w:val="24"/>
                                <w:lang w:val="fr-FR"/>
                              </w:rPr>
                              <w:t>2023</w:t>
                            </w:r>
                          </w:p>
                          <w:p w14:paraId="1EDA337D" w14:textId="77777777" w:rsidR="00E22AE9" w:rsidRPr="00E22AE9" w:rsidRDefault="00E22AE9" w:rsidP="00E22AE9">
                            <w:pPr>
                              <w:rPr>
                                <w:color w:val="05DC91"/>
                                <w:sz w:val="24"/>
                                <w:szCs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EEB7" id="_x0000_s1027" type="#_x0000_t202" style="position:absolute;margin-left:-20.8pt;margin-top:357.65pt;width:125.7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fLGAIAADMEAAAOAAAAZHJzL2Uyb0RvYy54bWysU01vGjEQvVfqf7B8LwsESEAsEU1EVSlK&#10;IpEqZ+O12ZW8Htce2KW/vmMvX0p7qnrxjvfN53vj+X1bG7ZXPlRgcz7o9TlTVkJR2W3Of7ytvtxx&#10;FlDYQhiwKucHFfj94vOneeNmagglmEJ5RklsmDUu5yWim2VZkKWqReiBU5ZADb4WSFe/zQovGspe&#10;m2zY70+yBnzhPEgVAv197EC+SPm1VhJftA4Kmck59Ybp9OncxDNbzMVs64UrK3lsQ/xDF7WoLBU9&#10;p3oUKNjOV3+kqivpIYDGnoQ6A60rqdIMNM2g/2GadSmcSrMQOcGdaQr/L6183q/dq2fYfoWWBIyE&#10;NC7MAv2M87Ta1/FLnTLCicLDmTbVIpMxaDyd3EwJkoSNxtPbUeI1u0Q7H/CbgppFI+eeZElsif1T&#10;QKpIrieXWMzCqjImSWMsa3I+uRn3U8AZoQhjKfDSa7Sw3bSsKq7m2EBxoPE8dMoHJ1cV9fAkAr4K&#10;T1JT27S++EKHNkC14GhxVoL/9bf/0Z8UIJSzhlYn5+HnTnjFmfluSZvpYEQMMEyX0fh2SBd/jWyu&#10;EburH4C2c0APxclkRn80J1N7qN9py5exKkHCSqqdczyZD9gtNL0SqZbL5ETb5QQ+2bWTMXVkNTL8&#10;1r4L744yIAn4DKclE7MPanS+nR7LHYKuklSR547VI/20mUnB4yuKq399T16Xt774DQAA//8DAFBL&#10;AwQUAAYACAAAACEAdIA+z+MAAAALAQAADwAAAGRycy9kb3ducmV2LnhtbEyPwU7DMAyG70i8Q2Qk&#10;blvawtZSmk5TpQkJwWFjF25pk7UViVOabCt7+pkTHG1/+v39xWqyhp306HuHAuJ5BExj41SPrYD9&#10;x2aWAfNBopLGoRbwoz2sytubQubKnXGrT7vQMgpBn0sBXQhDzrlvOm2ln7tBI90ObrQy0Di2XI3y&#10;TOHW8CSKltzKHulDJwdddbr52h2tgNdq8y63dWKzi6le3g7r4Xv/uRDi/m5aPwMLegp/MPzqkzqU&#10;5FS7IyrPjIDZY7wkVEAaLx6AEZFET1Smpk2WpsDLgv/vUF4BAAD//wMAUEsBAi0AFAAGAAgAAAAh&#10;ALaDOJL+AAAA4QEAABMAAAAAAAAAAAAAAAAAAAAAAFtDb250ZW50X1R5cGVzXS54bWxQSwECLQAU&#10;AAYACAAAACEAOP0h/9YAAACUAQAACwAAAAAAAAAAAAAAAAAvAQAAX3JlbHMvLnJlbHNQSwECLQAU&#10;AAYACAAAACEAW8KnyxgCAAAzBAAADgAAAAAAAAAAAAAAAAAuAgAAZHJzL2Uyb0RvYy54bWxQSwEC&#10;LQAUAAYACAAAACEAdIA+z+MAAAALAQAADwAAAAAAAAAAAAAAAAByBAAAZHJzL2Rvd25yZXYueG1s&#10;UEsFBgAAAAAEAAQA8wAAAIIFAAAAAA==&#10;" filled="f" stroked="f" strokeweight=".5pt">
                <v:textbox>
                  <w:txbxContent>
                    <w:p w14:paraId="0DF5841E" w14:textId="1BEF2C6B" w:rsidR="00E22AE9" w:rsidRPr="00E22AE9" w:rsidRDefault="0063517F" w:rsidP="00E22AE9">
                      <w:pPr>
                        <w:rPr>
                          <w:color w:val="05DC91"/>
                          <w:sz w:val="24"/>
                          <w:szCs w:val="24"/>
                          <w:lang w:val="fr-FR"/>
                        </w:rPr>
                      </w:pPr>
                      <w:r w:rsidRPr="0063517F">
                        <w:rPr>
                          <w:color w:val="05DC91"/>
                          <w:sz w:val="24"/>
                          <w:szCs w:val="24"/>
                          <w:lang w:val="fr-FR"/>
                        </w:rPr>
                        <w:t>25</w:t>
                      </w:r>
                      <w:r>
                        <w:rPr>
                          <w:color w:val="05DC91"/>
                          <w:sz w:val="24"/>
                          <w:szCs w:val="24"/>
                          <w:lang w:val="fr-FR"/>
                        </w:rPr>
                        <w:t>.</w:t>
                      </w:r>
                      <w:r w:rsidRPr="0063517F">
                        <w:rPr>
                          <w:color w:val="05DC91"/>
                          <w:sz w:val="24"/>
                          <w:szCs w:val="24"/>
                          <w:lang w:val="fr-FR"/>
                        </w:rPr>
                        <w:t>05</w:t>
                      </w:r>
                      <w:r>
                        <w:rPr>
                          <w:color w:val="05DC91"/>
                          <w:sz w:val="24"/>
                          <w:szCs w:val="24"/>
                          <w:lang w:val="fr-FR"/>
                        </w:rPr>
                        <w:t>.</w:t>
                      </w:r>
                      <w:r w:rsidRPr="0063517F">
                        <w:rPr>
                          <w:color w:val="05DC91"/>
                          <w:sz w:val="24"/>
                          <w:szCs w:val="24"/>
                          <w:lang w:val="fr-FR"/>
                        </w:rPr>
                        <w:t>2023</w:t>
                      </w:r>
                    </w:p>
                    <w:p w14:paraId="1EDA337D" w14:textId="77777777" w:rsidR="00E22AE9" w:rsidRPr="00E22AE9" w:rsidRDefault="00E22AE9" w:rsidP="00E22AE9">
                      <w:pPr>
                        <w:rPr>
                          <w:color w:val="05DC91"/>
                          <w:sz w:val="24"/>
                          <w:szCs w:val="24"/>
                          <w:lang w:val="fr-FR"/>
                        </w:rPr>
                      </w:pPr>
                    </w:p>
                  </w:txbxContent>
                </v:textbox>
              </v:shape>
            </w:pict>
          </mc:Fallback>
        </mc:AlternateContent>
      </w:r>
      <w:r w:rsidR="00E22AE9">
        <w:rPr>
          <w:noProof/>
          <w:color w:val="61D6FF"/>
          <w:sz w:val="20"/>
          <w:szCs w:val="20"/>
        </w:rPr>
        <w:drawing>
          <wp:anchor distT="0" distB="0" distL="114300" distR="114300" simplePos="0" relativeHeight="251658240" behindDoc="0" locked="0" layoutInCell="1" allowOverlap="1" wp14:anchorId="3FCAC54B" wp14:editId="60FFAD2E">
            <wp:simplePos x="0" y="0"/>
            <wp:positionH relativeFrom="margin">
              <wp:posOffset>-762635</wp:posOffset>
            </wp:positionH>
            <wp:positionV relativeFrom="margin">
              <wp:posOffset>-935990</wp:posOffset>
            </wp:positionV>
            <wp:extent cx="7701280" cy="10885805"/>
            <wp:effectExtent l="0" t="0" r="0" b="0"/>
            <wp:wrapSquare wrapText="bothSides"/>
            <wp:docPr id="885112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1207" name="Image 88511207"/>
                    <pic:cNvPicPr/>
                  </pic:nvPicPr>
                  <pic:blipFill>
                    <a:blip r:embed="rId8">
                      <a:extLst>
                        <a:ext uri="{28A0092B-C50C-407E-A947-70E740481C1C}">
                          <a14:useLocalDpi xmlns:a14="http://schemas.microsoft.com/office/drawing/2010/main" val="0"/>
                        </a:ext>
                      </a:extLst>
                    </a:blip>
                    <a:stretch>
                      <a:fillRect/>
                    </a:stretch>
                  </pic:blipFill>
                  <pic:spPr>
                    <a:xfrm>
                      <a:off x="0" y="0"/>
                      <a:ext cx="7701280" cy="10885805"/>
                    </a:xfrm>
                    <a:prstGeom prst="rect">
                      <a:avLst/>
                    </a:prstGeom>
                  </pic:spPr>
                </pic:pic>
              </a:graphicData>
            </a:graphic>
            <wp14:sizeRelH relativeFrom="margin">
              <wp14:pctWidth>0</wp14:pctWidth>
            </wp14:sizeRelH>
            <wp14:sizeRelV relativeFrom="margin">
              <wp14:pctHeight>0</wp14:pctHeight>
            </wp14:sizeRelV>
          </wp:anchor>
        </w:drawing>
      </w:r>
    </w:p>
    <w:p w14:paraId="76211F12" w14:textId="77777777" w:rsidR="00FE2FC4" w:rsidRDefault="00FE2FC4">
      <w:pPr>
        <w:pStyle w:val="Titolo1"/>
        <w:spacing w:after="160"/>
        <w:jc w:val="center"/>
        <w:rPr>
          <w:lang w:val="en-US"/>
        </w:rPr>
      </w:pPr>
      <w:bookmarkStart w:id="0" w:name="_7a5dljjkbiqg" w:colFirst="0" w:colLast="0"/>
      <w:bookmarkEnd w:id="0"/>
    </w:p>
    <w:p w14:paraId="6FB1F31E" w14:textId="0896C927" w:rsidR="00AE12E9" w:rsidRPr="0063517F" w:rsidRDefault="0063517F">
      <w:pPr>
        <w:pStyle w:val="Titolo1"/>
        <w:spacing w:after="160"/>
        <w:jc w:val="center"/>
        <w:rPr>
          <w:lang w:val="es-CO"/>
        </w:rPr>
      </w:pPr>
      <w:r w:rsidRPr="0063517F">
        <w:rPr>
          <w:lang w:val="es-ES"/>
        </w:rPr>
        <w:t>¿Qué herramientas para financiar la adaptación al cambio climático?».</w:t>
      </w:r>
    </w:p>
    <w:tbl>
      <w:tblPr>
        <w:tblStyle w:val="a"/>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1"/>
        <w:gridCol w:w="4822"/>
      </w:tblGrid>
      <w:tr w:rsidR="00AE12E9" w14:paraId="640891DA" w14:textId="77777777">
        <w:trPr>
          <w:trHeight w:val="8145"/>
        </w:trPr>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1D4AF4" w14:textId="36DC9D45" w:rsidR="00AE12E9" w:rsidRDefault="0063517F">
            <w:pPr>
              <w:spacing w:line="240" w:lineRule="auto"/>
              <w:rPr>
                <w:sz w:val="32"/>
                <w:szCs w:val="32"/>
                <w:lang w:val="en-US"/>
              </w:rPr>
            </w:pPr>
            <w:bookmarkStart w:id="1" w:name="_8mcf9s5ta0aj" w:colFirst="0" w:colLast="0"/>
            <w:bookmarkEnd w:id="1"/>
            <w:proofErr w:type="spellStart"/>
            <w:r w:rsidRPr="0063517F">
              <w:rPr>
                <w:sz w:val="32"/>
                <w:szCs w:val="32"/>
                <w:lang w:val="en-US"/>
              </w:rPr>
              <w:t>Introducción</w:t>
            </w:r>
            <w:proofErr w:type="spellEnd"/>
          </w:p>
          <w:p w14:paraId="76727244" w14:textId="77777777" w:rsidR="0063517F" w:rsidRPr="00962A98" w:rsidRDefault="0063517F">
            <w:pPr>
              <w:spacing w:line="240" w:lineRule="auto"/>
              <w:rPr>
                <w:lang w:val="en-US"/>
              </w:rPr>
            </w:pPr>
          </w:p>
          <w:p w14:paraId="092681A0" w14:textId="77777777" w:rsidR="0063517F" w:rsidRDefault="0063517F" w:rsidP="0063517F">
            <w:pPr>
              <w:spacing w:line="240" w:lineRule="auto"/>
              <w:rPr>
                <w:sz w:val="21"/>
                <w:szCs w:val="21"/>
                <w:lang w:val="es-MX"/>
              </w:rPr>
            </w:pPr>
            <w:r w:rsidRPr="0063517F">
              <w:rPr>
                <w:sz w:val="21"/>
                <w:szCs w:val="21"/>
                <w:lang w:val="es-MX"/>
              </w:rPr>
              <w:t xml:space="preserve">Durante el taller de los días 15 y 16 de febrero de 2023 revisamos los conceptos de financiación de la adaptación al cambio climático a través de los BPDA. </w:t>
            </w:r>
          </w:p>
          <w:p w14:paraId="48F0A2F0" w14:textId="77777777" w:rsidR="0063517F" w:rsidRPr="0063517F" w:rsidRDefault="0063517F" w:rsidP="0063517F">
            <w:pPr>
              <w:spacing w:line="240" w:lineRule="auto"/>
              <w:rPr>
                <w:sz w:val="21"/>
                <w:szCs w:val="21"/>
                <w:lang w:val="es-MX"/>
              </w:rPr>
            </w:pPr>
          </w:p>
          <w:p w14:paraId="25479997" w14:textId="77777777" w:rsidR="0063517F" w:rsidRDefault="0063517F" w:rsidP="0063517F">
            <w:pPr>
              <w:spacing w:line="240" w:lineRule="auto"/>
              <w:rPr>
                <w:sz w:val="21"/>
                <w:szCs w:val="21"/>
                <w:lang w:val="es-MX"/>
              </w:rPr>
            </w:pPr>
            <w:r w:rsidRPr="0063517F">
              <w:rPr>
                <w:sz w:val="21"/>
                <w:szCs w:val="21"/>
                <w:lang w:val="es-MX"/>
              </w:rPr>
              <w:t>En esta sesión debatiremos pasos concretos para los BPDA que deseen incorporar un enfoque de financiación climática y, más concretamente, financiar inversiones que aumenten la resiliencia de los sistemas de producción agrícola, ganadera o agroindustrial.</w:t>
            </w:r>
          </w:p>
          <w:p w14:paraId="27129FD4" w14:textId="77777777" w:rsidR="0063517F" w:rsidRPr="0063517F" w:rsidRDefault="0063517F" w:rsidP="0063517F">
            <w:pPr>
              <w:spacing w:line="240" w:lineRule="auto"/>
              <w:rPr>
                <w:sz w:val="21"/>
                <w:szCs w:val="21"/>
                <w:lang w:val="es-MX"/>
              </w:rPr>
            </w:pPr>
          </w:p>
          <w:p w14:paraId="46DBEDC0" w14:textId="77777777" w:rsidR="0063517F" w:rsidRDefault="0063517F" w:rsidP="0063517F">
            <w:pPr>
              <w:spacing w:line="240" w:lineRule="auto"/>
              <w:rPr>
                <w:sz w:val="21"/>
                <w:szCs w:val="21"/>
                <w:lang w:val="es-MX"/>
              </w:rPr>
            </w:pPr>
            <w:r w:rsidRPr="0063517F">
              <w:rPr>
                <w:sz w:val="21"/>
                <w:szCs w:val="21"/>
                <w:lang w:val="es-MX"/>
              </w:rPr>
              <w:t xml:space="preserve">Los BPDA presentaron varios ejemplos en el taller de febrero y organizaremos la información de manera que responda a la pregunta planteada por varios participantes sobre las medidas que deberían tomar los BPDA que deseen adoptar o mejorar una estrategia climática en sus operaciones de préstamo. </w:t>
            </w:r>
          </w:p>
          <w:p w14:paraId="279C82F3" w14:textId="77777777" w:rsidR="0063517F" w:rsidRPr="0063517F" w:rsidRDefault="0063517F" w:rsidP="0063517F">
            <w:pPr>
              <w:spacing w:line="240" w:lineRule="auto"/>
              <w:rPr>
                <w:sz w:val="21"/>
                <w:szCs w:val="21"/>
                <w:lang w:val="es-MX"/>
              </w:rPr>
            </w:pPr>
          </w:p>
          <w:p w14:paraId="7E3CCBEB" w14:textId="77777777" w:rsidR="0063517F" w:rsidRDefault="0063517F" w:rsidP="0063517F">
            <w:pPr>
              <w:spacing w:line="240" w:lineRule="auto"/>
              <w:rPr>
                <w:sz w:val="21"/>
                <w:szCs w:val="21"/>
                <w:lang w:val="es-MX"/>
              </w:rPr>
            </w:pPr>
            <w:r w:rsidRPr="0063517F">
              <w:rPr>
                <w:sz w:val="21"/>
                <w:szCs w:val="21"/>
                <w:lang w:val="es-MX"/>
              </w:rPr>
              <w:t>Como afirman los BPDA, (i) no existe una única herramienta para financiar la adaptación, (</w:t>
            </w:r>
            <w:proofErr w:type="spellStart"/>
            <w:r w:rsidRPr="0063517F">
              <w:rPr>
                <w:sz w:val="21"/>
                <w:szCs w:val="21"/>
                <w:lang w:val="es-MX"/>
              </w:rPr>
              <w:t>ii</w:t>
            </w:r>
            <w:proofErr w:type="spellEnd"/>
            <w:r w:rsidRPr="0063517F">
              <w:rPr>
                <w:sz w:val="21"/>
                <w:szCs w:val="21"/>
                <w:lang w:val="es-MX"/>
              </w:rPr>
              <w:t>) sino una secuencia de cambios en los procesos y (</w:t>
            </w:r>
            <w:proofErr w:type="spellStart"/>
            <w:r w:rsidRPr="0063517F">
              <w:rPr>
                <w:sz w:val="21"/>
                <w:szCs w:val="21"/>
                <w:lang w:val="es-MX"/>
              </w:rPr>
              <w:t>iii</w:t>
            </w:r>
            <w:proofErr w:type="spellEnd"/>
            <w:r w:rsidRPr="0063517F">
              <w:rPr>
                <w:sz w:val="21"/>
                <w:szCs w:val="21"/>
                <w:lang w:val="es-MX"/>
              </w:rPr>
              <w:t>) la incorporación de conceptos y criterios de análisis de riesgos, (</w:t>
            </w:r>
            <w:proofErr w:type="spellStart"/>
            <w:r w:rsidRPr="0063517F">
              <w:rPr>
                <w:sz w:val="21"/>
                <w:szCs w:val="21"/>
                <w:lang w:val="es-MX"/>
              </w:rPr>
              <w:t>iv</w:t>
            </w:r>
            <w:proofErr w:type="spellEnd"/>
            <w:r w:rsidRPr="0063517F">
              <w:rPr>
                <w:sz w:val="21"/>
                <w:szCs w:val="21"/>
                <w:lang w:val="es-MX"/>
              </w:rPr>
              <w:t>) por supuesto teniendo en cuenta la doble materialidad de los riesgos como se ha indicado.</w:t>
            </w:r>
          </w:p>
          <w:p w14:paraId="6B92A89E" w14:textId="77777777" w:rsidR="0063517F" w:rsidRPr="0063517F" w:rsidRDefault="0063517F" w:rsidP="0063517F">
            <w:pPr>
              <w:spacing w:line="240" w:lineRule="auto"/>
              <w:rPr>
                <w:sz w:val="21"/>
                <w:szCs w:val="21"/>
                <w:lang w:val="es-MX"/>
              </w:rPr>
            </w:pPr>
          </w:p>
          <w:p w14:paraId="40A09697" w14:textId="7D67E928" w:rsidR="00AE12E9" w:rsidRPr="0063517F" w:rsidRDefault="0063517F" w:rsidP="0063517F">
            <w:pPr>
              <w:spacing w:line="240" w:lineRule="auto"/>
              <w:rPr>
                <w:sz w:val="21"/>
                <w:szCs w:val="21"/>
                <w:highlight w:val="white"/>
                <w:lang w:val="es-MX"/>
              </w:rPr>
            </w:pPr>
            <w:r w:rsidRPr="0063517F">
              <w:rPr>
                <w:sz w:val="21"/>
                <w:szCs w:val="21"/>
                <w:lang w:val="es-MX"/>
              </w:rPr>
              <w:t>Por ello, esta nota se dividirá en 4 partes para describir las diferentes etapas de la elaboración de una estrategia climática dentro de un BPDA.</w:t>
            </w:r>
          </w:p>
        </w:tc>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9E9A79" w14:textId="3BDC085E" w:rsidR="00AE12E9" w:rsidRPr="0063517F" w:rsidRDefault="0063517F" w:rsidP="0063517F">
            <w:pPr>
              <w:pStyle w:val="Paragrafoelenco"/>
              <w:numPr>
                <w:ilvl w:val="0"/>
                <w:numId w:val="2"/>
              </w:numPr>
              <w:spacing w:line="240" w:lineRule="auto"/>
              <w:rPr>
                <w:sz w:val="32"/>
                <w:szCs w:val="32"/>
                <w:lang w:val="en-US"/>
              </w:rPr>
            </w:pPr>
            <w:bookmarkStart w:id="2" w:name="_57nsbt7qva34" w:colFirst="0" w:colLast="0"/>
            <w:bookmarkEnd w:id="2"/>
            <w:r w:rsidRPr="0063517F">
              <w:rPr>
                <w:sz w:val="32"/>
                <w:szCs w:val="32"/>
                <w:lang w:val="en-US"/>
              </w:rPr>
              <w:t xml:space="preserve">¿Por </w:t>
            </w:r>
            <w:proofErr w:type="spellStart"/>
            <w:r w:rsidRPr="0063517F">
              <w:rPr>
                <w:sz w:val="32"/>
                <w:szCs w:val="32"/>
                <w:lang w:val="en-US"/>
              </w:rPr>
              <w:t>dónde</w:t>
            </w:r>
            <w:proofErr w:type="spellEnd"/>
            <w:r w:rsidRPr="0063517F">
              <w:rPr>
                <w:sz w:val="32"/>
                <w:szCs w:val="32"/>
                <w:lang w:val="en-US"/>
              </w:rPr>
              <w:t xml:space="preserve"> </w:t>
            </w:r>
            <w:proofErr w:type="spellStart"/>
            <w:r w:rsidRPr="0063517F">
              <w:rPr>
                <w:sz w:val="32"/>
                <w:szCs w:val="32"/>
                <w:lang w:val="en-US"/>
              </w:rPr>
              <w:t>empezar</w:t>
            </w:r>
            <w:proofErr w:type="spellEnd"/>
            <w:r w:rsidRPr="0063517F">
              <w:rPr>
                <w:sz w:val="32"/>
                <w:szCs w:val="32"/>
                <w:lang w:val="en-US"/>
              </w:rPr>
              <w:t>?</w:t>
            </w:r>
          </w:p>
          <w:p w14:paraId="4BE8C50B" w14:textId="77777777" w:rsidR="0063517F" w:rsidRPr="0063517F" w:rsidRDefault="0063517F" w:rsidP="0063517F">
            <w:pPr>
              <w:pStyle w:val="Paragrafoelenco"/>
              <w:spacing w:line="240" w:lineRule="auto"/>
              <w:ind w:left="1080"/>
              <w:rPr>
                <w:lang w:val="en-US"/>
              </w:rPr>
            </w:pPr>
          </w:p>
          <w:p w14:paraId="194E0771" w14:textId="54A1AB06" w:rsidR="0063517F" w:rsidRPr="0063517F" w:rsidRDefault="0063517F" w:rsidP="0063517F">
            <w:pPr>
              <w:spacing w:line="240" w:lineRule="auto"/>
              <w:rPr>
                <w:color w:val="00CC66"/>
                <w:sz w:val="21"/>
                <w:szCs w:val="21"/>
                <w:lang w:val="es-MX"/>
              </w:rPr>
            </w:pPr>
            <w:r w:rsidRPr="0063517F">
              <w:rPr>
                <w:color w:val="00CC66"/>
                <w:sz w:val="21"/>
                <w:szCs w:val="21"/>
                <w:lang w:val="es-MX"/>
              </w:rPr>
              <w:t>Taxonomías y criterios de elegibilidad, catálogos de tecnologías elegibles</w:t>
            </w:r>
            <w:r>
              <w:rPr>
                <w:color w:val="00CC66"/>
                <w:sz w:val="21"/>
                <w:szCs w:val="21"/>
                <w:lang w:val="es-MX"/>
              </w:rPr>
              <w:br/>
            </w:r>
          </w:p>
          <w:p w14:paraId="7DAC9269" w14:textId="618034B8" w:rsidR="0063517F" w:rsidRDefault="0063517F" w:rsidP="0063517F">
            <w:pPr>
              <w:spacing w:line="240" w:lineRule="auto"/>
              <w:rPr>
                <w:sz w:val="21"/>
                <w:szCs w:val="21"/>
                <w:lang w:val="es-MX"/>
              </w:rPr>
            </w:pPr>
            <w:r w:rsidRPr="0063517F">
              <w:rPr>
                <w:sz w:val="21"/>
                <w:szCs w:val="21"/>
                <w:lang w:val="es-MX"/>
              </w:rPr>
              <w:t>Una taxonomía de la financiación climática es un sistema de clasificación que identifica y clasifica las actividades económicas en función de su contribución a la mitigación del cambio climático. Puede utilizarse para orientar las inversiones verdes y promover la financiación de proyectos sostenibles.</w:t>
            </w:r>
          </w:p>
          <w:p w14:paraId="00E83416" w14:textId="77777777" w:rsidR="00305049" w:rsidRPr="0063517F" w:rsidRDefault="00305049" w:rsidP="0063517F">
            <w:pPr>
              <w:spacing w:line="240" w:lineRule="auto"/>
              <w:rPr>
                <w:sz w:val="21"/>
                <w:szCs w:val="21"/>
                <w:highlight w:val="white"/>
                <w:lang w:val="es-MX"/>
              </w:rPr>
            </w:pPr>
          </w:p>
          <w:p w14:paraId="094A266E" w14:textId="77777777" w:rsidR="00305049" w:rsidRDefault="00305049" w:rsidP="00305049">
            <w:pPr>
              <w:spacing w:line="240" w:lineRule="auto"/>
              <w:rPr>
                <w:sz w:val="21"/>
                <w:szCs w:val="21"/>
                <w:lang w:val="es-CO"/>
              </w:rPr>
            </w:pPr>
            <w:r w:rsidRPr="00305049">
              <w:rPr>
                <w:sz w:val="21"/>
                <w:szCs w:val="21"/>
                <w:lang w:val="es-CO"/>
              </w:rPr>
              <w:t>Las principales características de una taxonomía de la financiación de la lucha contra el cambio climático son su capacidad para establecer criterios claros y transparentes de clasificación de las actividades económicas en función de su contribución a la mitigación del cambio climático. Estos criterios pueden incluir consideraciones como las emisiones de gases de efecto invernadero, la eficiencia energética, el uso de fuentes de energía renovables, la gestión sostenible de los recursos naturales y la resistencia a los impactos del cambio climático.</w:t>
            </w:r>
          </w:p>
          <w:p w14:paraId="4A4ED5C6" w14:textId="77777777" w:rsidR="00305049" w:rsidRPr="00305049" w:rsidRDefault="00305049" w:rsidP="00305049">
            <w:pPr>
              <w:spacing w:line="240" w:lineRule="auto"/>
              <w:rPr>
                <w:sz w:val="21"/>
                <w:szCs w:val="21"/>
                <w:lang w:val="es-CO"/>
              </w:rPr>
            </w:pPr>
          </w:p>
          <w:p w14:paraId="34275585" w14:textId="7CB0F27E" w:rsidR="00AE12E9" w:rsidRPr="00305049" w:rsidRDefault="00305049" w:rsidP="00305049">
            <w:pPr>
              <w:spacing w:line="240" w:lineRule="auto"/>
              <w:rPr>
                <w:lang w:val="es-CO"/>
              </w:rPr>
            </w:pPr>
            <w:r w:rsidRPr="00305049">
              <w:rPr>
                <w:b/>
                <w:bCs/>
                <w:sz w:val="21"/>
                <w:szCs w:val="21"/>
                <w:lang w:val="es-CO"/>
              </w:rPr>
              <w:t>La función de una taxonomía de la financiación climática es ayudar a los inversores y prestamistas a identificar las actividades económicas que tienen un impacto positivo en el medio ambiente y financiarlas eficazmente.</w:t>
            </w:r>
            <w:r w:rsidRPr="00305049">
              <w:rPr>
                <w:sz w:val="21"/>
                <w:szCs w:val="21"/>
                <w:lang w:val="es-CO"/>
              </w:rPr>
              <w:t xml:space="preserve"> Al clasificar los proyectos en función de su contribución a la mitigación del cambio climático, una taxonomía puede ayudar a los inversores a tomar decisiones de inversión más razonadas. También puede fomentar la creación de productos financieros verdes que respondan a las necesidades específicas de inversores y prestamistas.</w:t>
            </w:r>
          </w:p>
        </w:tc>
      </w:tr>
    </w:tbl>
    <w:p w14:paraId="37D03D6D" w14:textId="77777777" w:rsidR="00AE12E9" w:rsidRDefault="00AE12E9">
      <w:pPr>
        <w:pStyle w:val="Titolo"/>
      </w:pPr>
      <w:bookmarkStart w:id="3" w:name="_ah3ft0txa3p2" w:colFirst="0" w:colLast="0"/>
      <w:bookmarkEnd w:id="3"/>
    </w:p>
    <w:p w14:paraId="4AD14149" w14:textId="77777777" w:rsidR="00AE12E9" w:rsidRDefault="00AE12E9">
      <w:pPr>
        <w:rPr>
          <w:color w:val="00BE7F"/>
        </w:rPr>
      </w:pPr>
    </w:p>
    <w:tbl>
      <w:tblPr>
        <w:tblStyle w:val="a0"/>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5"/>
        <w:gridCol w:w="3214"/>
        <w:gridCol w:w="3214"/>
      </w:tblGrid>
      <w:tr w:rsidR="00AE12E9" w14:paraId="35AE9D1E" w14:textId="77777777">
        <w:tc>
          <w:tcPr>
            <w:tcW w:w="32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C25A52" w14:textId="77777777" w:rsidR="00AE12E9" w:rsidRDefault="00000000">
            <w:pPr>
              <w:widowControl w:val="0"/>
              <w:pBdr>
                <w:top w:val="nil"/>
                <w:left w:val="nil"/>
                <w:bottom w:val="nil"/>
                <w:right w:val="nil"/>
                <w:between w:val="nil"/>
              </w:pBdr>
              <w:spacing w:line="240" w:lineRule="auto"/>
              <w:rPr>
                <w:color w:val="00BE7F"/>
              </w:rPr>
            </w:pPr>
            <w:r>
              <w:rPr>
                <w:noProof/>
                <w:color w:val="00BE7F"/>
              </w:rPr>
              <w:lastRenderedPageBreak/>
              <w:drawing>
                <wp:inline distT="114300" distB="114300" distL="114300" distR="114300" wp14:anchorId="4BA39CDF" wp14:editId="5EC5E4B6">
                  <wp:extent cx="1895475" cy="98814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895475" cy="988142"/>
                          </a:xfrm>
                          <a:prstGeom prst="rect">
                            <a:avLst/>
                          </a:prstGeom>
                          <a:ln/>
                        </pic:spPr>
                      </pic:pic>
                    </a:graphicData>
                  </a:graphic>
                </wp:inline>
              </w:drawing>
            </w:r>
          </w:p>
        </w:tc>
        <w:tc>
          <w:tcPr>
            <w:tcW w:w="32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0FDC99" w14:textId="77777777" w:rsidR="00AE12E9" w:rsidRDefault="00000000">
            <w:pPr>
              <w:widowControl w:val="0"/>
              <w:pBdr>
                <w:top w:val="nil"/>
                <w:left w:val="nil"/>
                <w:bottom w:val="nil"/>
                <w:right w:val="nil"/>
                <w:between w:val="nil"/>
              </w:pBdr>
              <w:spacing w:line="240" w:lineRule="auto"/>
              <w:rPr>
                <w:color w:val="00BE7F"/>
              </w:rPr>
            </w:pPr>
            <w:r>
              <w:rPr>
                <w:noProof/>
                <w:color w:val="00BE7F"/>
              </w:rPr>
              <w:drawing>
                <wp:inline distT="114300" distB="114300" distL="114300" distR="114300" wp14:anchorId="68E401D1" wp14:editId="0E2697C1">
                  <wp:extent cx="1895475" cy="9906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95475" cy="990600"/>
                          </a:xfrm>
                          <a:prstGeom prst="rect">
                            <a:avLst/>
                          </a:prstGeom>
                          <a:ln/>
                        </pic:spPr>
                      </pic:pic>
                    </a:graphicData>
                  </a:graphic>
                </wp:inline>
              </w:drawing>
            </w:r>
          </w:p>
        </w:tc>
        <w:tc>
          <w:tcPr>
            <w:tcW w:w="32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8EA723" w14:textId="77777777" w:rsidR="00AE12E9" w:rsidRDefault="00000000">
            <w:pPr>
              <w:widowControl w:val="0"/>
              <w:pBdr>
                <w:top w:val="nil"/>
                <w:left w:val="nil"/>
                <w:bottom w:val="nil"/>
                <w:right w:val="nil"/>
                <w:between w:val="nil"/>
              </w:pBdr>
              <w:spacing w:line="240" w:lineRule="auto"/>
              <w:rPr>
                <w:color w:val="00BE7F"/>
              </w:rPr>
            </w:pPr>
            <w:r>
              <w:rPr>
                <w:noProof/>
                <w:color w:val="00BE7F"/>
              </w:rPr>
              <w:drawing>
                <wp:inline distT="114300" distB="114300" distL="114300" distR="114300" wp14:anchorId="79987F02" wp14:editId="6A4D5CE5">
                  <wp:extent cx="1895475" cy="9906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895475" cy="990600"/>
                          </a:xfrm>
                          <a:prstGeom prst="rect">
                            <a:avLst/>
                          </a:prstGeom>
                          <a:ln/>
                        </pic:spPr>
                      </pic:pic>
                    </a:graphicData>
                  </a:graphic>
                </wp:inline>
              </w:drawing>
            </w:r>
          </w:p>
        </w:tc>
      </w:tr>
    </w:tbl>
    <w:tbl>
      <w:tblPr>
        <w:tblStyle w:val="a1"/>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1"/>
        <w:gridCol w:w="4822"/>
      </w:tblGrid>
      <w:tr w:rsidR="00AE12E9" w14:paraId="03290E6C" w14:textId="77777777" w:rsidTr="00305049">
        <w:trPr>
          <w:trHeight w:val="8145"/>
        </w:trPr>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DAB828" w14:textId="77777777" w:rsidR="00AE12E9" w:rsidRPr="00962A98" w:rsidRDefault="00AE12E9">
            <w:pPr>
              <w:spacing w:line="240" w:lineRule="auto"/>
              <w:rPr>
                <w:lang w:val="en-US"/>
              </w:rPr>
            </w:pPr>
            <w:bookmarkStart w:id="4" w:name="_cgql0wkrrdz2" w:colFirst="0" w:colLast="0"/>
            <w:bookmarkStart w:id="5" w:name="_xz11fo8np2ny" w:colFirst="0" w:colLast="0"/>
            <w:bookmarkStart w:id="6" w:name="_72v7x5uf742p" w:colFirst="0" w:colLast="0"/>
            <w:bookmarkEnd w:id="4"/>
            <w:bookmarkEnd w:id="5"/>
            <w:bookmarkEnd w:id="6"/>
          </w:p>
          <w:p w14:paraId="6BD431A5" w14:textId="77777777" w:rsidR="00305049" w:rsidRDefault="00305049" w:rsidP="00305049">
            <w:pPr>
              <w:spacing w:line="240" w:lineRule="auto"/>
              <w:rPr>
                <w:sz w:val="21"/>
                <w:szCs w:val="21"/>
                <w:lang w:val="es-CO"/>
              </w:rPr>
            </w:pPr>
            <w:r w:rsidRPr="00305049">
              <w:rPr>
                <w:sz w:val="21"/>
                <w:szCs w:val="21"/>
                <w:lang w:val="es-CO"/>
              </w:rPr>
              <w:t xml:space="preserve">Para estructurar y especificar una taxonomía para un banco, </w:t>
            </w:r>
            <w:r w:rsidRPr="00305049">
              <w:rPr>
                <w:sz w:val="21"/>
                <w:szCs w:val="21"/>
                <w:u w:val="single"/>
                <w:lang w:val="es-CO"/>
              </w:rPr>
              <w:t>los principales pasos a seguir son los siguientes</w:t>
            </w:r>
            <w:r w:rsidRPr="00305049">
              <w:rPr>
                <w:sz w:val="21"/>
                <w:szCs w:val="21"/>
                <w:lang w:val="es-CO"/>
              </w:rPr>
              <w:t>:</w:t>
            </w:r>
          </w:p>
          <w:p w14:paraId="6C360670" w14:textId="77777777" w:rsidR="00305049" w:rsidRPr="00305049" w:rsidRDefault="00305049" w:rsidP="00305049">
            <w:pPr>
              <w:spacing w:line="240" w:lineRule="auto"/>
              <w:rPr>
                <w:sz w:val="21"/>
                <w:szCs w:val="21"/>
                <w:lang w:val="es-CO"/>
              </w:rPr>
            </w:pPr>
          </w:p>
          <w:p w14:paraId="46817A42" w14:textId="77777777" w:rsidR="00305049" w:rsidRPr="00305049" w:rsidRDefault="00305049" w:rsidP="00305049">
            <w:pPr>
              <w:spacing w:line="240" w:lineRule="auto"/>
              <w:rPr>
                <w:sz w:val="21"/>
                <w:szCs w:val="21"/>
                <w:lang w:val="es-CO"/>
              </w:rPr>
            </w:pPr>
            <w:r w:rsidRPr="00305049">
              <w:rPr>
                <w:sz w:val="21"/>
                <w:szCs w:val="21"/>
                <w:lang w:val="es-CO"/>
              </w:rPr>
              <w:t>•</w:t>
            </w:r>
            <w:r w:rsidRPr="00305049">
              <w:rPr>
                <w:sz w:val="21"/>
                <w:szCs w:val="21"/>
                <w:lang w:val="es-CO"/>
              </w:rPr>
              <w:tab/>
            </w:r>
            <w:r w:rsidRPr="00305049">
              <w:rPr>
                <w:b/>
                <w:bCs/>
                <w:sz w:val="21"/>
                <w:szCs w:val="21"/>
                <w:lang w:val="es-CO"/>
              </w:rPr>
              <w:t>Definir los criterios de selección:</w:t>
            </w:r>
            <w:r w:rsidRPr="00305049">
              <w:rPr>
                <w:sz w:val="21"/>
                <w:szCs w:val="21"/>
                <w:lang w:val="es-CO"/>
              </w:rPr>
              <w:t xml:space="preserve"> Para crear una taxonomía eficaz, es importante definir claramente los criterios de selección que clasificarán los proyectos susceptibles de recibir financiación para el clima. Los criterios pueden basarse en indicadores de rendimiento medioambiental, tecnologías verdes, prácticas agrícolas sostenibles u otras medidas similares.</w:t>
            </w:r>
          </w:p>
          <w:p w14:paraId="703BFE6E" w14:textId="77777777" w:rsidR="00305049" w:rsidRPr="00305049" w:rsidRDefault="00305049" w:rsidP="00305049">
            <w:pPr>
              <w:spacing w:line="240" w:lineRule="auto"/>
              <w:rPr>
                <w:sz w:val="21"/>
                <w:szCs w:val="21"/>
                <w:lang w:val="es-CO"/>
              </w:rPr>
            </w:pPr>
            <w:r w:rsidRPr="00305049">
              <w:rPr>
                <w:sz w:val="21"/>
                <w:szCs w:val="21"/>
                <w:lang w:val="es-CO"/>
              </w:rPr>
              <w:t>•</w:t>
            </w:r>
            <w:r w:rsidRPr="00305049">
              <w:rPr>
                <w:sz w:val="21"/>
                <w:szCs w:val="21"/>
                <w:lang w:val="es-CO"/>
              </w:rPr>
              <w:tab/>
            </w:r>
            <w:r w:rsidRPr="00305049">
              <w:rPr>
                <w:b/>
                <w:bCs/>
                <w:sz w:val="21"/>
                <w:szCs w:val="21"/>
                <w:lang w:val="es-CO"/>
              </w:rPr>
              <w:t>Establecer listas de actividades elegibles:</w:t>
            </w:r>
            <w:r w:rsidRPr="00305049">
              <w:rPr>
                <w:sz w:val="21"/>
                <w:szCs w:val="21"/>
                <w:lang w:val="es-CO"/>
              </w:rPr>
              <w:t xml:space="preserve"> Una vez definidos los criterios de selección, es necesario determinar qué actividades son elegibles para la financiación climática en función de estos criterios. Esta lista debe especificarse claramente y actualizarse periódicamente para incluir nuevas tecnologías y prácticas sostenibles.</w:t>
            </w:r>
          </w:p>
          <w:p w14:paraId="489CB49A" w14:textId="77777777" w:rsidR="00305049" w:rsidRPr="00305049" w:rsidRDefault="00305049" w:rsidP="00305049">
            <w:pPr>
              <w:spacing w:line="240" w:lineRule="auto"/>
              <w:rPr>
                <w:sz w:val="21"/>
                <w:szCs w:val="21"/>
                <w:lang w:val="es-CO"/>
              </w:rPr>
            </w:pPr>
            <w:r w:rsidRPr="00305049">
              <w:rPr>
                <w:sz w:val="21"/>
                <w:szCs w:val="21"/>
                <w:lang w:val="es-CO"/>
              </w:rPr>
              <w:t>•</w:t>
            </w:r>
            <w:r w:rsidRPr="00305049">
              <w:rPr>
                <w:sz w:val="21"/>
                <w:szCs w:val="21"/>
                <w:lang w:val="es-CO"/>
              </w:rPr>
              <w:tab/>
            </w:r>
            <w:r w:rsidRPr="00305049">
              <w:rPr>
                <w:b/>
                <w:bCs/>
                <w:sz w:val="21"/>
                <w:szCs w:val="21"/>
                <w:lang w:val="es-CO"/>
              </w:rPr>
              <w:t>Definir los requisitos de información</w:t>
            </w:r>
            <w:r w:rsidRPr="00305049">
              <w:rPr>
                <w:sz w:val="21"/>
                <w:szCs w:val="21"/>
                <w:lang w:val="es-CO"/>
              </w:rPr>
              <w:t xml:space="preserve"> para garantizar la transparencia y la rendición de cuentas de los proyectos financiados.</w:t>
            </w:r>
          </w:p>
          <w:p w14:paraId="3EC94E7D" w14:textId="77777777" w:rsidR="00305049" w:rsidRPr="00305049" w:rsidRDefault="00305049" w:rsidP="00305049">
            <w:pPr>
              <w:spacing w:line="240" w:lineRule="auto"/>
              <w:rPr>
                <w:sz w:val="21"/>
                <w:szCs w:val="21"/>
                <w:lang w:val="es-CO"/>
              </w:rPr>
            </w:pPr>
            <w:r w:rsidRPr="00305049">
              <w:rPr>
                <w:sz w:val="21"/>
                <w:szCs w:val="21"/>
                <w:lang w:val="es-CO"/>
              </w:rPr>
              <w:t>•</w:t>
            </w:r>
            <w:r w:rsidRPr="00305049">
              <w:rPr>
                <w:sz w:val="21"/>
                <w:szCs w:val="21"/>
                <w:lang w:val="es-CO"/>
              </w:rPr>
              <w:tab/>
            </w:r>
            <w:r w:rsidRPr="00305049">
              <w:rPr>
                <w:b/>
                <w:bCs/>
                <w:sz w:val="21"/>
                <w:szCs w:val="21"/>
                <w:lang w:val="es-CO"/>
              </w:rPr>
              <w:t>Desarrollar herramientas de medición y evaluación:</w:t>
            </w:r>
            <w:r w:rsidRPr="00305049">
              <w:rPr>
                <w:sz w:val="21"/>
                <w:szCs w:val="21"/>
                <w:lang w:val="es-CO"/>
              </w:rPr>
              <w:t xml:space="preserve"> Para medir el impacto medioambiental de los proyectos financiados, es necesario desarrollar herramientas de medición y evaluación adecuadas a la taxonomía. Las herramientas de medición pueden incluir indicadores de rendimiento medioambiental, métodos para calcular la reducción de emisiones de gases de efecto invernadero u otras medidas similares.</w:t>
            </w:r>
          </w:p>
          <w:p w14:paraId="0031D657" w14:textId="77777777" w:rsidR="00AE12E9" w:rsidRDefault="00305049" w:rsidP="00305049">
            <w:pPr>
              <w:spacing w:line="240" w:lineRule="auto"/>
              <w:rPr>
                <w:sz w:val="21"/>
                <w:szCs w:val="21"/>
                <w:lang w:val="es-CO"/>
              </w:rPr>
            </w:pPr>
            <w:r w:rsidRPr="00305049">
              <w:rPr>
                <w:sz w:val="21"/>
                <w:szCs w:val="21"/>
                <w:lang w:val="es-CO"/>
              </w:rPr>
              <w:t>•</w:t>
            </w:r>
            <w:r w:rsidRPr="00305049">
              <w:rPr>
                <w:sz w:val="21"/>
                <w:szCs w:val="21"/>
                <w:lang w:val="es-CO"/>
              </w:rPr>
              <w:tab/>
            </w:r>
            <w:r w:rsidRPr="00305049">
              <w:rPr>
                <w:b/>
                <w:bCs/>
                <w:sz w:val="21"/>
                <w:szCs w:val="21"/>
                <w:lang w:val="es-CO"/>
              </w:rPr>
              <w:t>Crear un comité de verificación:</w:t>
            </w:r>
            <w:r w:rsidRPr="00305049">
              <w:rPr>
                <w:sz w:val="21"/>
                <w:szCs w:val="21"/>
                <w:lang w:val="es-CO"/>
              </w:rPr>
              <w:t xml:space="preserve"> Para garantizar que los proyectos financiados cumplen los criterios de la taxonomía, es importante crear un comité de verificación independiente. Este comité debe revisar los proyectos propuestos y asesorar sobre su elegibilidad para la financiación climática.</w:t>
            </w:r>
          </w:p>
          <w:p w14:paraId="49F26379" w14:textId="6FA1F949" w:rsidR="00305049" w:rsidRPr="00305049" w:rsidRDefault="00305049" w:rsidP="00305049">
            <w:pPr>
              <w:spacing w:line="240" w:lineRule="auto"/>
              <w:rPr>
                <w:sz w:val="21"/>
                <w:szCs w:val="21"/>
                <w:lang w:val="es-MX"/>
              </w:rPr>
            </w:pPr>
          </w:p>
        </w:tc>
        <w:tc>
          <w:tcPr>
            <w:tcW w:w="482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D0255F" w14:textId="77777777" w:rsidR="00AE12E9" w:rsidRPr="00305049" w:rsidRDefault="00AE12E9">
            <w:pPr>
              <w:spacing w:line="240" w:lineRule="auto"/>
              <w:rPr>
                <w:lang w:val="es-CO"/>
              </w:rPr>
            </w:pPr>
            <w:bookmarkStart w:id="7" w:name="_c52v1bc121yl" w:colFirst="0" w:colLast="0"/>
            <w:bookmarkEnd w:id="7"/>
          </w:p>
          <w:p w14:paraId="47542E5A" w14:textId="77777777" w:rsidR="00AE12E9" w:rsidRDefault="00305049" w:rsidP="00305049">
            <w:pPr>
              <w:spacing w:line="240" w:lineRule="auto"/>
              <w:rPr>
                <w:sz w:val="21"/>
                <w:szCs w:val="21"/>
                <w:lang w:val="es-CO"/>
              </w:rPr>
            </w:pPr>
            <w:r w:rsidRPr="00305049">
              <w:rPr>
                <w:sz w:val="21"/>
                <w:szCs w:val="21"/>
                <w:lang w:val="es-CO"/>
              </w:rPr>
              <w:t xml:space="preserve">Además de estructurar y especificar una taxonomía para el banco, también es importante </w:t>
            </w:r>
            <w:r w:rsidRPr="00305049">
              <w:rPr>
                <w:sz w:val="21"/>
                <w:szCs w:val="21"/>
                <w:u w:val="single"/>
                <w:lang w:val="es-CO"/>
              </w:rPr>
              <w:t>construir un catálogo de tecnologías elegibles para la financiación climática</w:t>
            </w:r>
            <w:r w:rsidRPr="00305049">
              <w:rPr>
                <w:sz w:val="21"/>
                <w:szCs w:val="21"/>
                <w:lang w:val="es-CO"/>
              </w:rPr>
              <w:t>. Este catálogo puede incluir tecnologías en los ámbitos de las energías renovables, la eficiencia energética, la gestión de residuos, la agricultura sostenible, el transporte limpio y la construcción ecológica, entre otros.</w:t>
            </w:r>
          </w:p>
          <w:p w14:paraId="54906ED2" w14:textId="77777777" w:rsidR="00305049" w:rsidRDefault="00305049" w:rsidP="00305049">
            <w:pPr>
              <w:spacing w:line="240" w:lineRule="auto"/>
              <w:rPr>
                <w:sz w:val="21"/>
                <w:szCs w:val="21"/>
                <w:lang w:val="es-CO"/>
              </w:rPr>
            </w:pPr>
          </w:p>
          <w:p w14:paraId="45C20B7E" w14:textId="77777777" w:rsidR="00305049" w:rsidRDefault="00305049" w:rsidP="00305049">
            <w:pPr>
              <w:spacing w:line="240" w:lineRule="auto"/>
              <w:rPr>
                <w:lang w:val="es-MX"/>
              </w:rPr>
            </w:pPr>
            <w:r w:rsidRPr="00305049">
              <w:rPr>
                <w:lang w:val="es-MX"/>
              </w:rPr>
              <w:t>El catálogo también puede especificar criterios de elegibilidad para cada tecnología, como niveles reducidos de emisiones de gases de efecto invernadero, impactos medioambientales positivos, viabilidad económica y capacidad para resistir los efectos del cambio climático.</w:t>
            </w:r>
          </w:p>
          <w:p w14:paraId="520A6F68" w14:textId="77777777" w:rsidR="00305049" w:rsidRPr="00305049" w:rsidRDefault="00305049" w:rsidP="00305049">
            <w:pPr>
              <w:spacing w:line="240" w:lineRule="auto"/>
              <w:rPr>
                <w:lang w:val="es-MX"/>
              </w:rPr>
            </w:pPr>
          </w:p>
          <w:p w14:paraId="403FBC56" w14:textId="77777777" w:rsidR="00305049" w:rsidRDefault="00305049" w:rsidP="00305049">
            <w:pPr>
              <w:spacing w:line="240" w:lineRule="auto"/>
              <w:rPr>
                <w:lang w:val="es-MX"/>
              </w:rPr>
            </w:pPr>
            <w:r w:rsidRPr="00305049">
              <w:rPr>
                <w:lang w:val="es-MX"/>
              </w:rPr>
              <w:t xml:space="preserve">Además, </w:t>
            </w:r>
            <w:r w:rsidRPr="00305049">
              <w:rPr>
                <w:u w:val="single"/>
                <w:lang w:val="es-MX"/>
              </w:rPr>
              <w:t>el catálogo puede incluir ejemplos de proyectos financiados por el banco que utilicen estas tecnologías</w:t>
            </w:r>
            <w:r w:rsidRPr="00305049">
              <w:rPr>
                <w:lang w:val="es-MX"/>
              </w:rPr>
              <w:t>, con el fin de proporcionar a los clientes potenciales referencias concretas y facilitarles la comprensión de cómo pueden aplicarse las tecnologías en sus propios proyectos.</w:t>
            </w:r>
          </w:p>
          <w:p w14:paraId="1BA4249C" w14:textId="77777777" w:rsidR="00305049" w:rsidRDefault="00305049" w:rsidP="00305049">
            <w:pPr>
              <w:spacing w:line="240" w:lineRule="auto"/>
              <w:rPr>
                <w:lang w:val="es-MX"/>
              </w:rPr>
            </w:pPr>
          </w:p>
          <w:p w14:paraId="5741DDD1" w14:textId="77777777" w:rsidR="00305049" w:rsidRPr="00305049" w:rsidRDefault="00305049" w:rsidP="00305049">
            <w:pPr>
              <w:spacing w:line="240" w:lineRule="auto"/>
              <w:rPr>
                <w:lang w:val="es-MX"/>
              </w:rPr>
            </w:pPr>
            <w:r w:rsidRPr="00305049">
              <w:rPr>
                <w:lang w:val="es-MX"/>
              </w:rPr>
              <w:t>La creación de un catálogo de tecnologías elegibles puede ayudar a los bancos a orientar mejor sus inversiones climáticas y animar a sus clientes a adoptar tecnologías más limpias y sostenibles. También puede aumentar la transparencia y la responsabilidad de los bancos en la financiación climática, proporcionando una referencia clara para las partes interesadas internas y externas.</w:t>
            </w:r>
          </w:p>
          <w:p w14:paraId="12437857" w14:textId="77777777" w:rsidR="00305049" w:rsidRPr="00305049" w:rsidRDefault="00305049" w:rsidP="00305049">
            <w:pPr>
              <w:spacing w:line="240" w:lineRule="auto"/>
              <w:rPr>
                <w:lang w:val="es-MX"/>
              </w:rPr>
            </w:pPr>
          </w:p>
          <w:p w14:paraId="070C6FC8" w14:textId="509676E7" w:rsidR="00305049" w:rsidRPr="00305049" w:rsidRDefault="00305049" w:rsidP="00305049">
            <w:pPr>
              <w:spacing w:line="240" w:lineRule="auto"/>
              <w:rPr>
                <w:lang w:val="es-MX"/>
              </w:rPr>
            </w:pPr>
          </w:p>
        </w:tc>
      </w:tr>
    </w:tbl>
    <w:p w14:paraId="591AF2A4" w14:textId="77777777" w:rsidR="00FE2FC4" w:rsidRDefault="00FE2FC4">
      <w:bookmarkStart w:id="8" w:name="_u151e0717m5m" w:colFirst="0" w:colLast="0"/>
      <w:bookmarkEnd w:id="8"/>
    </w:p>
    <w:tbl>
      <w:tblPr>
        <w:tblStyle w:val="a2"/>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1"/>
        <w:gridCol w:w="4822"/>
      </w:tblGrid>
      <w:tr w:rsidR="00AE12E9" w14:paraId="24515F1B" w14:textId="77777777">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DB5A43" w14:textId="77777777" w:rsidR="00AE12E9" w:rsidRDefault="00000000">
            <w:pPr>
              <w:widowControl w:val="0"/>
              <w:pBdr>
                <w:top w:val="nil"/>
                <w:left w:val="nil"/>
                <w:bottom w:val="nil"/>
                <w:right w:val="nil"/>
                <w:between w:val="nil"/>
              </w:pBdr>
              <w:spacing w:line="240" w:lineRule="auto"/>
            </w:pPr>
            <w:r>
              <w:rPr>
                <w:noProof/>
              </w:rPr>
              <w:lastRenderedPageBreak/>
              <w:drawing>
                <wp:inline distT="114300" distB="114300" distL="114300" distR="114300" wp14:anchorId="34F1B00F" wp14:editId="36FBF462">
                  <wp:extent cx="2914650" cy="15240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914650" cy="1524000"/>
                          </a:xfrm>
                          <a:prstGeom prst="rect">
                            <a:avLst/>
                          </a:prstGeom>
                          <a:ln/>
                        </pic:spPr>
                      </pic:pic>
                    </a:graphicData>
                  </a:graphic>
                </wp:inline>
              </w:drawing>
            </w:r>
          </w:p>
        </w:tc>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22C7A1" w14:textId="77777777" w:rsidR="00AE12E9" w:rsidRDefault="00000000">
            <w:pPr>
              <w:widowControl w:val="0"/>
              <w:pBdr>
                <w:top w:val="nil"/>
                <w:left w:val="nil"/>
                <w:bottom w:val="nil"/>
                <w:right w:val="nil"/>
                <w:between w:val="nil"/>
              </w:pBdr>
              <w:spacing w:line="240" w:lineRule="auto"/>
            </w:pPr>
            <w:r>
              <w:rPr>
                <w:noProof/>
              </w:rPr>
              <w:drawing>
                <wp:inline distT="114300" distB="114300" distL="114300" distR="114300" wp14:anchorId="7ADB31A2" wp14:editId="460C127B">
                  <wp:extent cx="2914650" cy="15240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914650" cy="1524000"/>
                          </a:xfrm>
                          <a:prstGeom prst="rect">
                            <a:avLst/>
                          </a:prstGeom>
                          <a:ln/>
                        </pic:spPr>
                      </pic:pic>
                    </a:graphicData>
                  </a:graphic>
                </wp:inline>
              </w:drawing>
            </w:r>
          </w:p>
        </w:tc>
      </w:tr>
    </w:tbl>
    <w:tbl>
      <w:tblPr>
        <w:tblStyle w:val="a3"/>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1"/>
        <w:gridCol w:w="4822"/>
      </w:tblGrid>
      <w:tr w:rsidR="00AE12E9" w:rsidRPr="00C931CF" w14:paraId="5F24E726" w14:textId="77777777" w:rsidTr="00305049">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A592F4" w14:textId="2113A1A7" w:rsidR="00AE12E9" w:rsidRPr="00305049" w:rsidRDefault="00305049">
            <w:pPr>
              <w:pStyle w:val="Titolo3"/>
              <w:widowControl w:val="0"/>
              <w:rPr>
                <w:color w:val="00BE7F"/>
                <w:lang w:val="es-MX"/>
              </w:rPr>
            </w:pPr>
            <w:bookmarkStart w:id="9" w:name="_un09hwzcj86a" w:colFirst="0" w:colLast="0"/>
            <w:bookmarkEnd w:id="9"/>
            <w:r w:rsidRPr="00305049">
              <w:rPr>
                <w:color w:val="00BE7F"/>
                <w:lang w:val="es-MX"/>
              </w:rPr>
              <w:t>Estrategia de financiación de la lucha contra el cambio climático</w:t>
            </w:r>
          </w:p>
        </w:tc>
        <w:tc>
          <w:tcPr>
            <w:tcW w:w="482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03857D" w14:textId="223F35F1" w:rsidR="00AE12E9" w:rsidRPr="00962A98" w:rsidRDefault="00AE12E9">
            <w:pPr>
              <w:pStyle w:val="Titolo3"/>
              <w:widowControl w:val="0"/>
              <w:rPr>
                <w:lang w:val="en-US"/>
              </w:rPr>
            </w:pPr>
            <w:bookmarkStart w:id="10" w:name="_m1al4k4ncdet" w:colFirst="0" w:colLast="0"/>
            <w:bookmarkEnd w:id="10"/>
          </w:p>
        </w:tc>
      </w:tr>
    </w:tbl>
    <w:p w14:paraId="25C4755F" w14:textId="77777777" w:rsidR="00AE12E9" w:rsidRPr="00962A98" w:rsidRDefault="00AE12E9">
      <w:pPr>
        <w:rPr>
          <w:sz w:val="4"/>
          <w:szCs w:val="4"/>
          <w:lang w:val="en-US"/>
        </w:rPr>
      </w:pPr>
    </w:p>
    <w:tbl>
      <w:tblPr>
        <w:tblStyle w:val="a4"/>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5"/>
        <w:gridCol w:w="4677"/>
      </w:tblGrid>
      <w:tr w:rsidR="00305049" w14:paraId="4F897476" w14:textId="77777777" w:rsidTr="00305049">
        <w:trPr>
          <w:trHeight w:val="2895"/>
        </w:trPr>
        <w:tc>
          <w:tcPr>
            <w:tcW w:w="43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9481EE" w14:textId="77777777" w:rsidR="00305049" w:rsidRDefault="00305049" w:rsidP="00305049">
            <w:pPr>
              <w:widowControl w:val="0"/>
              <w:pBdr>
                <w:top w:val="nil"/>
                <w:left w:val="nil"/>
                <w:bottom w:val="nil"/>
                <w:right w:val="nil"/>
                <w:between w:val="nil"/>
              </w:pBdr>
              <w:spacing w:line="240" w:lineRule="auto"/>
              <w:rPr>
                <w:sz w:val="21"/>
                <w:szCs w:val="21"/>
                <w:highlight w:val="white"/>
                <w:lang w:val="es-MX"/>
              </w:rPr>
            </w:pPr>
            <w:r w:rsidRPr="00305049">
              <w:rPr>
                <w:sz w:val="21"/>
                <w:szCs w:val="21"/>
                <w:highlight w:val="white"/>
                <w:lang w:val="es-MX"/>
              </w:rPr>
              <w:t>La taxonomía, los criterios de elegibilidad, el catálogo y los objetivos de la BPDA deben incluirse en un documento de política o estrategia bancaria, de modo que estas herramientas pasen a formar parte de los procesos aplicados a las operaciones de crédito y sean aprobadas por el consejo de administración como documento de política bancaria.</w:t>
            </w:r>
          </w:p>
          <w:p w14:paraId="6A939AAD" w14:textId="77777777" w:rsidR="00305049" w:rsidRPr="00305049" w:rsidRDefault="00305049" w:rsidP="00305049">
            <w:pPr>
              <w:widowControl w:val="0"/>
              <w:pBdr>
                <w:top w:val="nil"/>
                <w:left w:val="nil"/>
                <w:bottom w:val="nil"/>
                <w:right w:val="nil"/>
                <w:between w:val="nil"/>
              </w:pBdr>
              <w:spacing w:line="240" w:lineRule="auto"/>
              <w:rPr>
                <w:sz w:val="21"/>
                <w:szCs w:val="21"/>
                <w:highlight w:val="white"/>
                <w:lang w:val="es-MX"/>
              </w:rPr>
            </w:pPr>
          </w:p>
          <w:p w14:paraId="35494B92" w14:textId="77777777" w:rsidR="00305049" w:rsidRDefault="00305049" w:rsidP="00305049">
            <w:pPr>
              <w:widowControl w:val="0"/>
              <w:pBdr>
                <w:top w:val="nil"/>
                <w:left w:val="nil"/>
                <w:bottom w:val="nil"/>
                <w:right w:val="nil"/>
                <w:between w:val="nil"/>
              </w:pBdr>
              <w:spacing w:line="240" w:lineRule="auto"/>
              <w:rPr>
                <w:sz w:val="21"/>
                <w:szCs w:val="21"/>
                <w:highlight w:val="white"/>
                <w:lang w:val="es-MX"/>
              </w:rPr>
            </w:pPr>
            <w:r w:rsidRPr="00305049">
              <w:rPr>
                <w:sz w:val="21"/>
                <w:szCs w:val="21"/>
                <w:highlight w:val="white"/>
                <w:lang w:val="es-MX"/>
              </w:rPr>
              <w:t xml:space="preserve">La preparación y formulación de la estrategia implica un proceso de reflexión interna para identificar las oportunidades que representa la adopción de una estrategia de financiación sostenible, pero también los aspectos que el BPDA debe reforzar y los retos financieros y competenciales del banco. Se recomienda la movilización de expertos externos para ayudar al equipo directivo del banco a construir una estrategia acorde con las políticas de financiación sostenible de los donantes y alineada con las políticas públicas en materia de cambio climático. </w:t>
            </w:r>
          </w:p>
          <w:p w14:paraId="68E16D7A" w14:textId="77777777" w:rsidR="00305049" w:rsidRPr="00305049" w:rsidRDefault="00305049" w:rsidP="00305049">
            <w:pPr>
              <w:widowControl w:val="0"/>
              <w:pBdr>
                <w:top w:val="nil"/>
                <w:left w:val="nil"/>
                <w:bottom w:val="nil"/>
                <w:right w:val="nil"/>
                <w:between w:val="nil"/>
              </w:pBdr>
              <w:spacing w:line="240" w:lineRule="auto"/>
              <w:rPr>
                <w:sz w:val="21"/>
                <w:szCs w:val="21"/>
                <w:highlight w:val="white"/>
                <w:lang w:val="es-MX"/>
              </w:rPr>
            </w:pPr>
          </w:p>
          <w:p w14:paraId="57E4FE26" w14:textId="77777777" w:rsidR="00305049" w:rsidRDefault="00305049" w:rsidP="00305049">
            <w:pPr>
              <w:widowControl w:val="0"/>
              <w:pBdr>
                <w:top w:val="nil"/>
                <w:left w:val="nil"/>
                <w:bottom w:val="nil"/>
                <w:right w:val="nil"/>
                <w:between w:val="nil"/>
              </w:pBdr>
              <w:spacing w:line="240" w:lineRule="auto"/>
              <w:rPr>
                <w:sz w:val="21"/>
                <w:szCs w:val="21"/>
                <w:highlight w:val="white"/>
                <w:lang w:val="es-MX"/>
              </w:rPr>
            </w:pPr>
            <w:r w:rsidRPr="00305049">
              <w:rPr>
                <w:sz w:val="21"/>
                <w:szCs w:val="21"/>
                <w:highlight w:val="white"/>
                <w:lang w:val="es-MX"/>
              </w:rPr>
              <w:t>Una estrategia de financiación de la lucha contra el cambio climático para un banco de desarrollo agrícola debería incluir los siguientes elementos</w:t>
            </w:r>
          </w:p>
          <w:p w14:paraId="31C878D2" w14:textId="77777777" w:rsidR="00305049" w:rsidRDefault="00305049" w:rsidP="00305049">
            <w:pPr>
              <w:widowControl w:val="0"/>
              <w:pBdr>
                <w:top w:val="nil"/>
                <w:left w:val="nil"/>
                <w:bottom w:val="nil"/>
                <w:right w:val="nil"/>
                <w:between w:val="nil"/>
              </w:pBdr>
              <w:spacing w:line="240" w:lineRule="auto"/>
              <w:rPr>
                <w:sz w:val="21"/>
                <w:szCs w:val="21"/>
                <w:highlight w:val="white"/>
                <w:lang w:val="es-MX"/>
              </w:rPr>
            </w:pPr>
          </w:p>
          <w:p w14:paraId="2C4D518F" w14:textId="77777777" w:rsidR="00305049" w:rsidRPr="00305049" w:rsidRDefault="00305049" w:rsidP="00305049">
            <w:pPr>
              <w:widowControl w:val="0"/>
              <w:pBdr>
                <w:top w:val="nil"/>
                <w:left w:val="nil"/>
                <w:bottom w:val="nil"/>
                <w:right w:val="nil"/>
                <w:between w:val="nil"/>
              </w:pBdr>
              <w:spacing w:line="240" w:lineRule="auto"/>
              <w:rPr>
                <w:sz w:val="21"/>
                <w:szCs w:val="21"/>
                <w:highlight w:val="white"/>
                <w:lang w:val="es-MX"/>
              </w:rPr>
            </w:pPr>
          </w:p>
          <w:p w14:paraId="5E07559F" w14:textId="092D35CC" w:rsidR="00305049" w:rsidRPr="00305049" w:rsidRDefault="00305049">
            <w:pPr>
              <w:widowControl w:val="0"/>
              <w:pBdr>
                <w:top w:val="nil"/>
                <w:left w:val="nil"/>
                <w:bottom w:val="nil"/>
                <w:right w:val="nil"/>
                <w:between w:val="nil"/>
              </w:pBdr>
              <w:spacing w:line="240" w:lineRule="auto"/>
              <w:rPr>
                <w:sz w:val="21"/>
                <w:szCs w:val="21"/>
                <w:highlight w:val="white"/>
                <w:lang w:val="es-MX"/>
              </w:rPr>
            </w:pPr>
          </w:p>
        </w:tc>
        <w:tc>
          <w:tcPr>
            <w:tcW w:w="467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3D4FCB" w14:textId="77777777" w:rsidR="00305049" w:rsidRDefault="00305049" w:rsidP="00305049">
            <w:pPr>
              <w:widowControl w:val="0"/>
              <w:numPr>
                <w:ilvl w:val="0"/>
                <w:numId w:val="3"/>
              </w:numPr>
              <w:spacing w:line="240" w:lineRule="auto"/>
              <w:rPr>
                <w:sz w:val="21"/>
                <w:szCs w:val="21"/>
                <w:highlight w:val="white"/>
                <w:lang w:val="es-MX"/>
              </w:rPr>
            </w:pPr>
            <w:r>
              <w:rPr>
                <w:sz w:val="21"/>
                <w:szCs w:val="21"/>
                <w:highlight w:val="white"/>
              </w:rPr>
              <w:t xml:space="preserve"> </w:t>
            </w:r>
            <w:r w:rsidRPr="00305049">
              <w:rPr>
                <w:b/>
                <w:bCs/>
                <w:sz w:val="21"/>
                <w:szCs w:val="21"/>
                <w:highlight w:val="white"/>
                <w:lang w:val="es-MX"/>
              </w:rPr>
              <w:t>Objetivos</w:t>
            </w:r>
            <w:r w:rsidRPr="00305049">
              <w:rPr>
                <w:sz w:val="21"/>
                <w:szCs w:val="21"/>
                <w:highlight w:val="white"/>
                <w:lang w:val="es-MX"/>
              </w:rPr>
              <w:t>: La estrategia debe definir los objetivos de financiación climática del banco para el sector agrícola, por ejemplo, la reducción de las emisiones de gases de efecto invernadero, la adaptación al cambio climático y la promoción de prácticas agrícolas sostenibles, sobre la base de objetivos cuantificados (volúmenes financieros en un plazo indicativo).</w:t>
            </w:r>
          </w:p>
          <w:p w14:paraId="006B5948" w14:textId="77777777" w:rsidR="00305049" w:rsidRDefault="00305049" w:rsidP="00305049">
            <w:pPr>
              <w:widowControl w:val="0"/>
              <w:spacing w:line="240" w:lineRule="auto"/>
              <w:ind w:left="720"/>
              <w:rPr>
                <w:sz w:val="21"/>
                <w:szCs w:val="21"/>
                <w:highlight w:val="white"/>
                <w:lang w:val="es-MX"/>
              </w:rPr>
            </w:pPr>
          </w:p>
          <w:p w14:paraId="1A52E3CA" w14:textId="77777777" w:rsidR="00305049" w:rsidRDefault="00305049" w:rsidP="00305049">
            <w:pPr>
              <w:widowControl w:val="0"/>
              <w:numPr>
                <w:ilvl w:val="0"/>
                <w:numId w:val="3"/>
              </w:numPr>
              <w:spacing w:line="240" w:lineRule="auto"/>
              <w:rPr>
                <w:sz w:val="21"/>
                <w:szCs w:val="21"/>
                <w:highlight w:val="white"/>
                <w:lang w:val="es-MX"/>
              </w:rPr>
            </w:pPr>
            <w:r w:rsidRPr="00305049">
              <w:rPr>
                <w:b/>
                <w:bCs/>
                <w:sz w:val="21"/>
                <w:szCs w:val="21"/>
                <w:highlight w:val="white"/>
                <w:lang w:val="es-MX"/>
              </w:rPr>
              <w:t>Ámbito de aplicación</w:t>
            </w:r>
            <w:r w:rsidRPr="00305049">
              <w:rPr>
                <w:sz w:val="21"/>
                <w:szCs w:val="21"/>
                <w:highlight w:val="white"/>
                <w:lang w:val="es-MX"/>
              </w:rPr>
              <w:t>: La estrategia debe especificar los sectores y actividades agrícolas que pueden optar a la financiación climática, así como los tipos de proyectos que recibirán apoyo, como la gestión del agua, la agrosilvicultura, los proyectos de reducción de emisiones de gases de efecto invernadero, etc. Se pueden definir prioridades para ilustrar el plan de acción. Se podría empezar por las actividades más fáciles (desarrollo de lo existente, cadenas certificadas, asociaciones organizadas)</w:t>
            </w:r>
          </w:p>
          <w:p w14:paraId="38FEC0F6" w14:textId="77777777" w:rsidR="00305049" w:rsidRDefault="00305049" w:rsidP="00305049">
            <w:pPr>
              <w:pStyle w:val="Paragrafoelenco"/>
              <w:rPr>
                <w:sz w:val="21"/>
                <w:szCs w:val="21"/>
                <w:highlight w:val="white"/>
                <w:lang w:val="es-MX"/>
              </w:rPr>
            </w:pPr>
          </w:p>
          <w:p w14:paraId="6AE04688" w14:textId="77777777" w:rsidR="00305049" w:rsidRPr="00305049" w:rsidRDefault="00305049" w:rsidP="00305049">
            <w:pPr>
              <w:widowControl w:val="0"/>
              <w:spacing w:line="240" w:lineRule="auto"/>
              <w:ind w:left="720"/>
              <w:rPr>
                <w:sz w:val="21"/>
                <w:szCs w:val="21"/>
                <w:highlight w:val="white"/>
                <w:lang w:val="es-MX"/>
              </w:rPr>
            </w:pPr>
          </w:p>
          <w:p w14:paraId="78F97EFE" w14:textId="77777777" w:rsidR="00305049" w:rsidRPr="00305049" w:rsidRDefault="00305049" w:rsidP="00305049">
            <w:pPr>
              <w:widowControl w:val="0"/>
              <w:numPr>
                <w:ilvl w:val="0"/>
                <w:numId w:val="3"/>
              </w:numPr>
              <w:spacing w:line="240" w:lineRule="auto"/>
              <w:rPr>
                <w:b/>
                <w:bCs/>
                <w:sz w:val="21"/>
                <w:szCs w:val="21"/>
                <w:highlight w:val="white"/>
                <w:lang w:val="es-MX"/>
              </w:rPr>
            </w:pPr>
            <w:r w:rsidRPr="00305049">
              <w:rPr>
                <w:b/>
                <w:bCs/>
                <w:sz w:val="21"/>
                <w:szCs w:val="21"/>
                <w:highlight w:val="white"/>
                <w:lang w:val="es-MX"/>
              </w:rPr>
              <w:t>Criterios de elegibilidad</w:t>
            </w:r>
            <w:r w:rsidRPr="00305049">
              <w:rPr>
                <w:sz w:val="21"/>
                <w:szCs w:val="21"/>
                <w:highlight w:val="white"/>
                <w:lang w:val="es-MX"/>
              </w:rPr>
              <w:t>: La estrategia también debe definir los criterios de elegibilidad de los proyectos, empresas y tecnologías que pueden beneficiarse de la financiación para el clima. Estos criterios pueden incluir requisitos de eficiencia energética, reducción de emisiones de gases de efecto invernadero, adaptación al cambio climático, etc.</w:t>
            </w:r>
          </w:p>
          <w:p w14:paraId="45432BDE" w14:textId="77777777" w:rsidR="00305049" w:rsidRPr="00305049" w:rsidRDefault="00305049" w:rsidP="00305049">
            <w:pPr>
              <w:widowControl w:val="0"/>
              <w:spacing w:line="240" w:lineRule="auto"/>
              <w:ind w:left="720"/>
              <w:rPr>
                <w:sz w:val="21"/>
                <w:szCs w:val="21"/>
                <w:highlight w:val="white"/>
                <w:lang w:val="es-MX"/>
              </w:rPr>
            </w:pPr>
          </w:p>
          <w:p w14:paraId="65141C2A" w14:textId="402B1DAD" w:rsidR="00305049" w:rsidRPr="00305049" w:rsidRDefault="00305049">
            <w:pPr>
              <w:widowControl w:val="0"/>
              <w:spacing w:line="240" w:lineRule="auto"/>
              <w:rPr>
                <w:sz w:val="21"/>
                <w:szCs w:val="21"/>
                <w:highlight w:val="white"/>
                <w:lang w:val="es-MX"/>
              </w:rPr>
            </w:pPr>
          </w:p>
        </w:tc>
      </w:tr>
    </w:tbl>
    <w:p w14:paraId="6745C0B6" w14:textId="77777777" w:rsidR="00AE12E9" w:rsidRDefault="00AE12E9"/>
    <w:p w14:paraId="79FEEAE4" w14:textId="77777777" w:rsidR="00AE12E9" w:rsidRDefault="00AE12E9"/>
    <w:tbl>
      <w:tblPr>
        <w:tblStyle w:val="a5"/>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1"/>
        <w:gridCol w:w="4822"/>
      </w:tblGrid>
      <w:tr w:rsidR="00AE12E9" w:rsidRPr="00C931CF" w14:paraId="4B93C0FD" w14:textId="77777777">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8638CB" w14:textId="78EE4BEB" w:rsidR="00AE12E9" w:rsidRPr="00305049" w:rsidRDefault="00AE12E9">
            <w:pPr>
              <w:pStyle w:val="Titolo3"/>
              <w:widowControl w:val="0"/>
              <w:rPr>
                <w:color w:val="000000"/>
                <w:lang w:val="es-CO"/>
              </w:rPr>
            </w:pPr>
            <w:bookmarkStart w:id="11" w:name="_afo7ds1gpih3" w:colFirst="0" w:colLast="0"/>
            <w:bookmarkEnd w:id="11"/>
          </w:p>
        </w:tc>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3DA947" w14:textId="363F9743" w:rsidR="00AE12E9" w:rsidRPr="00305049" w:rsidRDefault="00AE12E9">
            <w:pPr>
              <w:pStyle w:val="Titolo3"/>
              <w:widowControl w:val="0"/>
              <w:rPr>
                <w:lang w:val="es-CO"/>
              </w:rPr>
            </w:pPr>
            <w:bookmarkStart w:id="12" w:name="_8dc9ct2zk35r" w:colFirst="0" w:colLast="0"/>
            <w:bookmarkEnd w:id="12"/>
          </w:p>
        </w:tc>
      </w:tr>
    </w:tbl>
    <w:p w14:paraId="7E5F8C96" w14:textId="77777777" w:rsidR="00AE12E9" w:rsidRPr="00305049" w:rsidRDefault="00AE12E9">
      <w:pPr>
        <w:rPr>
          <w:sz w:val="4"/>
          <w:szCs w:val="4"/>
          <w:lang w:val="es-CO"/>
        </w:rPr>
      </w:pPr>
    </w:p>
    <w:tbl>
      <w:tblPr>
        <w:tblStyle w:val="a6"/>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8"/>
        <w:gridCol w:w="4678"/>
        <w:gridCol w:w="142"/>
      </w:tblGrid>
      <w:tr w:rsidR="00305049" w14:paraId="37E5A2F9" w14:textId="77777777" w:rsidTr="00A73F7E">
        <w:trPr>
          <w:gridAfter w:val="1"/>
          <w:wAfter w:w="142" w:type="dxa"/>
          <w:trHeight w:val="2895"/>
        </w:trPr>
        <w:tc>
          <w:tcPr>
            <w:tcW w:w="466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421C92" w14:textId="77777777" w:rsidR="00305049" w:rsidRDefault="00305049" w:rsidP="00305049">
            <w:pPr>
              <w:widowControl w:val="0"/>
              <w:numPr>
                <w:ilvl w:val="0"/>
                <w:numId w:val="3"/>
              </w:numPr>
              <w:spacing w:line="240" w:lineRule="auto"/>
              <w:rPr>
                <w:sz w:val="21"/>
                <w:szCs w:val="21"/>
                <w:highlight w:val="white"/>
                <w:lang w:val="es-MX"/>
              </w:rPr>
            </w:pPr>
            <w:r w:rsidRPr="00305049">
              <w:rPr>
                <w:b/>
                <w:bCs/>
                <w:sz w:val="21"/>
                <w:szCs w:val="21"/>
                <w:highlight w:val="white"/>
                <w:lang w:val="es-MX"/>
              </w:rPr>
              <w:t>Modalidades de financiación:</w:t>
            </w:r>
            <w:r w:rsidRPr="00305049">
              <w:rPr>
                <w:sz w:val="21"/>
                <w:szCs w:val="21"/>
                <w:highlight w:val="white"/>
                <w:lang w:val="es-MX"/>
              </w:rPr>
              <w:t xml:space="preserve"> La estrategia debe especificar las modalidades de financiación de los proyectos elegibles, como préstamos, subvenciones, garantías, etc. También debe especificar los tipos de interés, las condiciones de reembolso y los requisitos en materia de garantías.</w:t>
            </w:r>
          </w:p>
          <w:p w14:paraId="6FCB4CAB" w14:textId="77777777" w:rsidR="00305049" w:rsidRPr="00305049" w:rsidRDefault="00305049" w:rsidP="00305049">
            <w:pPr>
              <w:widowControl w:val="0"/>
              <w:spacing w:line="240" w:lineRule="auto"/>
              <w:ind w:left="720"/>
              <w:rPr>
                <w:sz w:val="21"/>
                <w:szCs w:val="21"/>
                <w:highlight w:val="white"/>
                <w:lang w:val="es-MX"/>
              </w:rPr>
            </w:pPr>
          </w:p>
          <w:p w14:paraId="4C4F0320" w14:textId="77777777" w:rsidR="00305049" w:rsidRPr="00305049" w:rsidRDefault="00305049" w:rsidP="00305049">
            <w:pPr>
              <w:widowControl w:val="0"/>
              <w:numPr>
                <w:ilvl w:val="0"/>
                <w:numId w:val="3"/>
              </w:numPr>
              <w:spacing w:line="240" w:lineRule="auto"/>
              <w:rPr>
                <w:sz w:val="21"/>
                <w:szCs w:val="21"/>
                <w:highlight w:val="white"/>
                <w:lang w:val="es-MX"/>
              </w:rPr>
            </w:pPr>
            <w:r w:rsidRPr="00305049">
              <w:rPr>
                <w:b/>
                <w:bCs/>
                <w:sz w:val="21"/>
                <w:szCs w:val="21"/>
                <w:highlight w:val="white"/>
                <w:lang w:val="es-MX"/>
              </w:rPr>
              <w:t xml:space="preserve">Integración en los procedimientos internos de gestión del crédito: la </w:t>
            </w:r>
            <w:r w:rsidRPr="00305049">
              <w:rPr>
                <w:bCs/>
                <w:sz w:val="21"/>
                <w:szCs w:val="21"/>
                <w:highlight w:val="white"/>
                <w:lang w:val="es-MX"/>
              </w:rPr>
              <w:t>financiación climática se identifica con la posible adición de procedimientos específicos en el proceso de solicitud y el sistema de información del banco para garantizar la rendición de cuentas, especialmente si se beneficia de recursos de incentivo adicionales.</w:t>
            </w:r>
          </w:p>
          <w:p w14:paraId="32FBEBC6" w14:textId="77777777" w:rsidR="00305049" w:rsidRDefault="00305049" w:rsidP="00305049">
            <w:pPr>
              <w:pStyle w:val="Paragrafoelenco"/>
              <w:rPr>
                <w:sz w:val="21"/>
                <w:szCs w:val="21"/>
                <w:highlight w:val="white"/>
                <w:lang w:val="es-MX"/>
              </w:rPr>
            </w:pPr>
          </w:p>
          <w:p w14:paraId="41354098" w14:textId="77777777" w:rsidR="00305049" w:rsidRPr="00305049" w:rsidRDefault="00305049" w:rsidP="00305049">
            <w:pPr>
              <w:widowControl w:val="0"/>
              <w:spacing w:line="240" w:lineRule="auto"/>
              <w:ind w:left="720"/>
              <w:rPr>
                <w:sz w:val="21"/>
                <w:szCs w:val="21"/>
                <w:highlight w:val="white"/>
                <w:lang w:val="es-MX"/>
              </w:rPr>
            </w:pPr>
          </w:p>
          <w:p w14:paraId="0E37C6A8" w14:textId="77777777" w:rsidR="00305049" w:rsidRDefault="00305049" w:rsidP="00305049">
            <w:pPr>
              <w:widowControl w:val="0"/>
              <w:numPr>
                <w:ilvl w:val="0"/>
                <w:numId w:val="3"/>
              </w:numPr>
              <w:spacing w:line="240" w:lineRule="auto"/>
              <w:rPr>
                <w:sz w:val="21"/>
                <w:szCs w:val="21"/>
                <w:highlight w:val="white"/>
                <w:lang w:val="es-MX"/>
              </w:rPr>
            </w:pPr>
            <w:r w:rsidRPr="00305049">
              <w:rPr>
                <w:b/>
                <w:bCs/>
                <w:sz w:val="21"/>
                <w:szCs w:val="21"/>
                <w:highlight w:val="white"/>
                <w:lang w:val="es-MX"/>
              </w:rPr>
              <w:t>Seguimiento y evaluación</w:t>
            </w:r>
            <w:r w:rsidRPr="00305049">
              <w:rPr>
                <w:sz w:val="21"/>
                <w:szCs w:val="21"/>
                <w:highlight w:val="white"/>
                <w:lang w:val="es-MX"/>
              </w:rPr>
              <w:t>: La estrategia debe incluir mecanismos de seguimiento y evaluación para medir el impacto climático y medioambiental de los proyectos financiados. Estos mecanismos pueden incluir indicadores de rendimiento, evaluaciones periódicas e informes de situación.</w:t>
            </w:r>
          </w:p>
          <w:p w14:paraId="21467B05" w14:textId="77777777" w:rsidR="00305049" w:rsidRDefault="00305049" w:rsidP="00305049">
            <w:pPr>
              <w:widowControl w:val="0"/>
              <w:spacing w:line="240" w:lineRule="auto"/>
              <w:rPr>
                <w:sz w:val="21"/>
                <w:szCs w:val="21"/>
                <w:highlight w:val="white"/>
                <w:lang w:val="es-MX"/>
              </w:rPr>
            </w:pPr>
          </w:p>
          <w:p w14:paraId="429EFC70" w14:textId="77777777" w:rsidR="00305049" w:rsidRPr="00305049" w:rsidRDefault="00305049" w:rsidP="00305049">
            <w:pPr>
              <w:widowControl w:val="0"/>
              <w:spacing w:line="240" w:lineRule="auto"/>
              <w:rPr>
                <w:sz w:val="21"/>
                <w:szCs w:val="21"/>
                <w:highlight w:val="white"/>
                <w:lang w:val="es-MX"/>
              </w:rPr>
            </w:pPr>
            <w:r w:rsidRPr="00305049">
              <w:rPr>
                <w:sz w:val="21"/>
                <w:szCs w:val="21"/>
                <w:highlight w:val="white"/>
                <w:lang w:val="es-MX"/>
              </w:rPr>
              <w:t>Además, la estrategia también debería incluir la construcción de un catálogo de tecnologías elegibles para la financiación climática (véase el párrafo anterior), así como asociaciones con otras instituciones para movilizar recursos adicionales y reforzar la cooperación en materia de financiación climática.</w:t>
            </w:r>
          </w:p>
          <w:p w14:paraId="5CBC62B5" w14:textId="77777777" w:rsidR="00305049" w:rsidRDefault="00305049" w:rsidP="00305049">
            <w:pPr>
              <w:widowControl w:val="0"/>
              <w:spacing w:line="240" w:lineRule="auto"/>
              <w:rPr>
                <w:sz w:val="21"/>
                <w:szCs w:val="21"/>
                <w:highlight w:val="white"/>
                <w:lang w:val="es-MX"/>
              </w:rPr>
            </w:pPr>
          </w:p>
          <w:p w14:paraId="702B90A0" w14:textId="30B6F1E5" w:rsidR="00305049" w:rsidRPr="00305049" w:rsidRDefault="00305049" w:rsidP="00305049">
            <w:pPr>
              <w:widowControl w:val="0"/>
              <w:spacing w:line="240" w:lineRule="auto"/>
              <w:rPr>
                <w:sz w:val="21"/>
                <w:szCs w:val="21"/>
                <w:highlight w:val="white"/>
                <w:lang w:val="es-MX"/>
              </w:rPr>
            </w:pPr>
            <w:r w:rsidRPr="00305049">
              <w:rPr>
                <w:sz w:val="21"/>
                <w:szCs w:val="21"/>
                <w:highlight w:val="white"/>
                <w:lang w:val="es-MX"/>
              </w:rPr>
              <w:t>Al igual que ocurre con otros documentos estratégicos o políticos, los BPDA deben revisar y modificar anualmente la estrategia de financiación sostenible para mantenerla al día de los cambios en las políticas públicas e incorporar las novedades relacionadas con la evolución de los impactos del cambio climático y las herramientas que se están desarrollando para los sistemas de evaluación y gestión de riesgos climáticos</w:t>
            </w:r>
          </w:p>
          <w:p w14:paraId="551A3B0E" w14:textId="608EB1A6" w:rsidR="00305049" w:rsidRPr="00305049" w:rsidRDefault="00305049">
            <w:pPr>
              <w:widowControl w:val="0"/>
              <w:spacing w:line="240" w:lineRule="auto"/>
              <w:rPr>
                <w:sz w:val="21"/>
                <w:szCs w:val="21"/>
                <w:highlight w:val="white"/>
                <w:lang w:val="es-MX"/>
              </w:rPr>
            </w:pPr>
          </w:p>
        </w:tc>
        <w:tc>
          <w:tcPr>
            <w:tcW w:w="467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C659AC" w14:textId="1639E592" w:rsidR="00305049" w:rsidRDefault="00305049" w:rsidP="00CB6692">
            <w:pPr>
              <w:pStyle w:val="Paragrafoelenco"/>
              <w:numPr>
                <w:ilvl w:val="0"/>
                <w:numId w:val="2"/>
              </w:numPr>
              <w:spacing w:line="240" w:lineRule="auto"/>
              <w:rPr>
                <w:sz w:val="32"/>
                <w:szCs w:val="32"/>
                <w:lang w:val="en-US"/>
              </w:rPr>
            </w:pPr>
            <w:proofErr w:type="spellStart"/>
            <w:r w:rsidRPr="00CB6692">
              <w:rPr>
                <w:sz w:val="32"/>
                <w:szCs w:val="32"/>
                <w:lang w:val="en-US"/>
              </w:rPr>
              <w:t>Gestión</w:t>
            </w:r>
            <w:proofErr w:type="spellEnd"/>
            <w:r w:rsidRPr="00CB6692">
              <w:rPr>
                <w:sz w:val="32"/>
                <w:szCs w:val="32"/>
                <w:lang w:val="en-US"/>
              </w:rPr>
              <w:t xml:space="preserve"> de </w:t>
            </w:r>
            <w:proofErr w:type="spellStart"/>
            <w:r w:rsidRPr="00CB6692">
              <w:rPr>
                <w:sz w:val="32"/>
                <w:szCs w:val="32"/>
                <w:lang w:val="en-US"/>
              </w:rPr>
              <w:t>riesgos</w:t>
            </w:r>
            <w:proofErr w:type="spellEnd"/>
          </w:p>
          <w:p w14:paraId="6532A670" w14:textId="77777777" w:rsidR="00CB6692" w:rsidRPr="00CB6692" w:rsidRDefault="00CB6692" w:rsidP="00CB6692">
            <w:pPr>
              <w:pStyle w:val="Paragrafoelenco"/>
              <w:spacing w:line="240" w:lineRule="auto"/>
              <w:ind w:left="1080"/>
              <w:rPr>
                <w:sz w:val="32"/>
                <w:szCs w:val="32"/>
                <w:lang w:val="en-US"/>
              </w:rPr>
            </w:pPr>
          </w:p>
          <w:p w14:paraId="341918A3" w14:textId="63280368" w:rsidR="00CB6692" w:rsidRDefault="00CB6692" w:rsidP="00CB6692">
            <w:pPr>
              <w:widowControl w:val="0"/>
              <w:spacing w:line="240" w:lineRule="auto"/>
              <w:rPr>
                <w:sz w:val="21"/>
                <w:szCs w:val="21"/>
                <w:highlight w:val="white"/>
                <w:lang w:val="es-MX"/>
              </w:rPr>
            </w:pPr>
            <w:r w:rsidRPr="00CB6692">
              <w:rPr>
                <w:sz w:val="21"/>
                <w:szCs w:val="21"/>
                <w:highlight w:val="white"/>
                <w:lang w:val="es-MX"/>
              </w:rPr>
              <w:t>La cuestión clave que surgió de la sesión de los días 15 y 16 de febrero de 2023 sobre la financiación de la adaptación es la doble materialidad que los bancos deben analizar en sus decisiones de financiación.</w:t>
            </w:r>
          </w:p>
          <w:p w14:paraId="707C2661" w14:textId="77777777" w:rsidR="00CB6692" w:rsidRPr="00CB6692" w:rsidRDefault="00CB6692" w:rsidP="00CB6692">
            <w:pPr>
              <w:widowControl w:val="0"/>
              <w:spacing w:line="240" w:lineRule="auto"/>
              <w:rPr>
                <w:sz w:val="21"/>
                <w:szCs w:val="21"/>
                <w:highlight w:val="white"/>
                <w:lang w:val="es-MX"/>
              </w:rPr>
            </w:pPr>
          </w:p>
          <w:p w14:paraId="41D2ECEC" w14:textId="77777777" w:rsidR="00CB6692" w:rsidRPr="00CB6692" w:rsidRDefault="00CB6692" w:rsidP="00CB6692">
            <w:pPr>
              <w:widowControl w:val="0"/>
              <w:spacing w:line="240" w:lineRule="auto"/>
              <w:rPr>
                <w:b/>
                <w:bCs/>
                <w:sz w:val="21"/>
                <w:szCs w:val="21"/>
                <w:highlight w:val="white"/>
                <w:lang w:val="es-MX"/>
              </w:rPr>
            </w:pPr>
            <w:r w:rsidRPr="00CB6692">
              <w:rPr>
                <w:b/>
                <w:bCs/>
                <w:sz w:val="21"/>
                <w:szCs w:val="21"/>
                <w:highlight w:val="white"/>
                <w:lang w:val="es-MX"/>
              </w:rPr>
              <w:t>En el contexto de la gestión de riesgos, la doble materialidad es un enfoque que tiene en cuenta tanto los riesgos financieros y no financieros a los que está expuesto un banco de desarrollo, como su impacto potencial en la sostenibilidad medioambiental y social. Esto significa que el banco de desarrollo debe tener en cuenta los riesgos tradicionales, como los riesgos de crédito y de mercado, así como los riesgos medioambientales y sociales, como el cambio climático, las catástrofes naturales, las violaciones de los derechos humanos y la contaminación del aire y del agua.</w:t>
            </w:r>
          </w:p>
          <w:p w14:paraId="5AC1F0F1" w14:textId="77777777" w:rsidR="00CB6692" w:rsidRPr="00CB6692" w:rsidRDefault="00CB6692" w:rsidP="00CB6692">
            <w:pPr>
              <w:widowControl w:val="0"/>
              <w:spacing w:line="240" w:lineRule="auto"/>
              <w:rPr>
                <w:sz w:val="21"/>
                <w:szCs w:val="21"/>
                <w:highlight w:val="white"/>
                <w:lang w:val="es-MX"/>
              </w:rPr>
            </w:pPr>
          </w:p>
          <w:p w14:paraId="53D7ED0E" w14:textId="77777777" w:rsidR="00CB6692" w:rsidRDefault="00CB6692" w:rsidP="00CB6692">
            <w:pPr>
              <w:widowControl w:val="0"/>
              <w:spacing w:line="240" w:lineRule="auto"/>
              <w:rPr>
                <w:sz w:val="21"/>
                <w:szCs w:val="21"/>
                <w:highlight w:val="white"/>
                <w:lang w:val="es-MX"/>
              </w:rPr>
            </w:pPr>
            <w:r w:rsidRPr="00CB6692">
              <w:rPr>
                <w:sz w:val="21"/>
                <w:szCs w:val="21"/>
                <w:highlight w:val="white"/>
                <w:lang w:val="es-MX"/>
              </w:rPr>
              <w:t>Además, la doble materialidad implica también considerar el impacto del banco de desarrollo en su entorno (sostenibilidad medioambiental y social).  Más allá de la simple gestión de riesgos (SGRES - sistema de gestión de riesgos ambientales y sociales), se tratará de medir los impactos para orientar las inversiones hacia impactos positivos (reducción de los activos marrones y aumento de los activos verdes).</w:t>
            </w:r>
          </w:p>
          <w:p w14:paraId="40CE5B75" w14:textId="77777777" w:rsidR="00CB6692" w:rsidRPr="00CB6692" w:rsidRDefault="00CB6692" w:rsidP="00CB6692">
            <w:pPr>
              <w:widowControl w:val="0"/>
              <w:spacing w:line="240" w:lineRule="auto"/>
              <w:rPr>
                <w:sz w:val="21"/>
                <w:szCs w:val="21"/>
                <w:highlight w:val="white"/>
                <w:lang w:val="es-MX"/>
              </w:rPr>
            </w:pPr>
          </w:p>
          <w:p w14:paraId="14C57870" w14:textId="1DAE0B54" w:rsidR="00305049" w:rsidRPr="00CB6692" w:rsidRDefault="00CB6692" w:rsidP="00CB6692">
            <w:pPr>
              <w:widowControl w:val="0"/>
              <w:spacing w:line="240" w:lineRule="auto"/>
              <w:rPr>
                <w:sz w:val="21"/>
                <w:szCs w:val="21"/>
                <w:highlight w:val="white"/>
                <w:lang w:val="es-MX"/>
              </w:rPr>
            </w:pPr>
            <w:r w:rsidRPr="00CB6692">
              <w:rPr>
                <w:sz w:val="21"/>
                <w:szCs w:val="21"/>
                <w:highlight w:val="white"/>
                <w:lang w:val="es-MX"/>
              </w:rPr>
              <w:t>A los bancos les interesa invertir ahora en el desarrollo de estos procedimientos porque los reguladores están poniendo en marcha progresivamente normas restrictivas (información, evaluación, seguimiento, medición, etc.) que, si no se anticipan, podrían causar dificultades a los bancos que no se hayan preparado. Además, los bancos más adelantados pueden acceder a recursos ventajosos (fondos nacionales subvencionados, incentivos de grandes fondos climáticos, etc.).</w:t>
            </w:r>
          </w:p>
          <w:p w14:paraId="41F6E616" w14:textId="4628C225" w:rsidR="00CB6692" w:rsidRPr="00CB6692" w:rsidRDefault="00CB6692" w:rsidP="00CB6692">
            <w:pPr>
              <w:spacing w:line="240" w:lineRule="auto"/>
              <w:rPr>
                <w:sz w:val="32"/>
                <w:szCs w:val="32"/>
                <w:lang w:val="es-MX"/>
              </w:rPr>
            </w:pPr>
          </w:p>
        </w:tc>
      </w:tr>
      <w:tr w:rsidR="00CB6692" w14:paraId="318C4E13" w14:textId="77777777" w:rsidTr="00A73F7E">
        <w:trPr>
          <w:trHeight w:val="2895"/>
        </w:trPr>
        <w:tc>
          <w:tcPr>
            <w:tcW w:w="466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0F2CB4" w14:textId="77777777" w:rsidR="00CB6692" w:rsidRDefault="00CB6692" w:rsidP="00CB6692">
            <w:pPr>
              <w:widowControl w:val="0"/>
              <w:spacing w:line="240" w:lineRule="auto"/>
              <w:rPr>
                <w:b/>
                <w:bCs/>
                <w:sz w:val="21"/>
                <w:szCs w:val="21"/>
                <w:highlight w:val="white"/>
                <w:lang w:val="es-MX"/>
              </w:rPr>
            </w:pPr>
          </w:p>
          <w:p w14:paraId="49AFE55C" w14:textId="77777777" w:rsidR="00CB6692" w:rsidRDefault="00CB6692" w:rsidP="00CB6692">
            <w:pPr>
              <w:widowControl w:val="0"/>
              <w:spacing w:line="240" w:lineRule="auto"/>
              <w:rPr>
                <w:b/>
                <w:bCs/>
                <w:sz w:val="21"/>
                <w:szCs w:val="21"/>
                <w:highlight w:val="white"/>
                <w:lang w:val="es-MX"/>
              </w:rPr>
            </w:pPr>
          </w:p>
          <w:p w14:paraId="7A3BC113" w14:textId="77777777" w:rsidR="00CB6692" w:rsidRPr="00CB6692" w:rsidRDefault="00CB6692" w:rsidP="00CB6692">
            <w:pPr>
              <w:pStyle w:val="Titolo3"/>
              <w:widowControl w:val="0"/>
              <w:rPr>
                <w:color w:val="00BE7F"/>
                <w:lang w:val="es-MX"/>
              </w:rPr>
            </w:pPr>
            <w:r w:rsidRPr="00CB6692">
              <w:rPr>
                <w:color w:val="00BE7F"/>
                <w:lang w:val="es-MX"/>
              </w:rPr>
              <w:t>Sistema de Gestión de Riesgos Medioambientales y Medioambientales (SGRAS)</w:t>
            </w:r>
          </w:p>
          <w:p w14:paraId="616AF295" w14:textId="77777777" w:rsidR="00CB6692" w:rsidRDefault="00CB6692" w:rsidP="00CB6692">
            <w:pPr>
              <w:widowControl w:val="0"/>
              <w:spacing w:line="240" w:lineRule="auto"/>
              <w:rPr>
                <w:sz w:val="21"/>
                <w:szCs w:val="21"/>
                <w:highlight w:val="white"/>
                <w:lang w:val="es-MX"/>
              </w:rPr>
            </w:pPr>
            <w:r w:rsidRPr="00CB6692">
              <w:rPr>
                <w:b/>
                <w:bCs/>
                <w:sz w:val="21"/>
                <w:szCs w:val="21"/>
                <w:highlight w:val="white"/>
                <w:lang w:val="es-MX"/>
              </w:rPr>
              <w:t>La herramienta de Gestión de Riesgos Medioambientales y Sociales</w:t>
            </w:r>
            <w:r w:rsidRPr="00CB6692">
              <w:rPr>
                <w:sz w:val="21"/>
                <w:szCs w:val="21"/>
                <w:highlight w:val="white"/>
                <w:lang w:val="es-MX"/>
              </w:rPr>
              <w:t xml:space="preserve"> es un instrumento clave utilizado por los BPDA para evaluar los riesgos medioambientales y sociales de los proyectos que financian. Este enfoque ayuda a gestionar los riesgos asociados tanto a las propias actividades del banco de desarrollo como a los proyectos que financia.</w:t>
            </w:r>
          </w:p>
          <w:p w14:paraId="60ACC708" w14:textId="77777777" w:rsidR="00CB6692" w:rsidRPr="00CB6692" w:rsidRDefault="00CB6692" w:rsidP="00CB6692">
            <w:pPr>
              <w:widowControl w:val="0"/>
              <w:spacing w:line="240" w:lineRule="auto"/>
              <w:rPr>
                <w:sz w:val="21"/>
                <w:szCs w:val="21"/>
                <w:highlight w:val="white"/>
                <w:lang w:val="es-MX"/>
              </w:rPr>
            </w:pPr>
          </w:p>
          <w:p w14:paraId="5EE9218F" w14:textId="77777777" w:rsidR="00CB6692" w:rsidRDefault="00CB6692" w:rsidP="00CB6692">
            <w:pPr>
              <w:widowControl w:val="0"/>
              <w:spacing w:line="240" w:lineRule="auto"/>
              <w:rPr>
                <w:sz w:val="21"/>
                <w:szCs w:val="21"/>
                <w:highlight w:val="white"/>
                <w:lang w:val="es-MX"/>
              </w:rPr>
            </w:pPr>
            <w:r w:rsidRPr="00CB6692">
              <w:rPr>
                <w:b/>
                <w:bCs/>
                <w:sz w:val="21"/>
                <w:szCs w:val="21"/>
                <w:highlight w:val="white"/>
                <w:lang w:val="es-MX"/>
              </w:rPr>
              <w:t>El SGRAS comienza con la identificación de los posibles riesgos medioambientales y sociales asociados a un proyecto determinado</w:t>
            </w:r>
            <w:r w:rsidRPr="00CB6692">
              <w:rPr>
                <w:sz w:val="21"/>
                <w:szCs w:val="21"/>
                <w:highlight w:val="white"/>
                <w:lang w:val="es-MX"/>
              </w:rPr>
              <w:t xml:space="preserve">. Los riesgos identificados pueden incluir impactos sobre la biodiversidad, la calidad del aire y del agua, las comunidades locales, los derechos humanos, la seguridad y la salud de los trabajadores, entre otros. El SGRAS también verificará que el prestatario cumple todas las leyes y normas medioambientales y sociales y que la actividad acreditada no entra en ninguna categoría de la lista de exclusión. </w:t>
            </w:r>
          </w:p>
          <w:p w14:paraId="77035082" w14:textId="77777777" w:rsidR="00CB6692" w:rsidRPr="00CB6692" w:rsidRDefault="00CB6692" w:rsidP="00CB6692">
            <w:pPr>
              <w:widowControl w:val="0"/>
              <w:spacing w:line="240" w:lineRule="auto"/>
              <w:rPr>
                <w:sz w:val="21"/>
                <w:szCs w:val="21"/>
                <w:highlight w:val="white"/>
                <w:lang w:val="es-MX"/>
              </w:rPr>
            </w:pPr>
          </w:p>
          <w:p w14:paraId="30B94637" w14:textId="77777777" w:rsidR="00CB6692" w:rsidRDefault="00CB6692" w:rsidP="00CB6692">
            <w:pPr>
              <w:widowControl w:val="0"/>
              <w:spacing w:line="240" w:lineRule="auto"/>
              <w:rPr>
                <w:sz w:val="21"/>
                <w:szCs w:val="21"/>
                <w:highlight w:val="white"/>
                <w:lang w:val="es-MX"/>
              </w:rPr>
            </w:pPr>
            <w:r w:rsidRPr="00CB6692">
              <w:rPr>
                <w:b/>
                <w:bCs/>
                <w:sz w:val="21"/>
                <w:szCs w:val="21"/>
                <w:highlight w:val="white"/>
                <w:lang w:val="es-MX"/>
              </w:rPr>
              <w:t>Una vez identificados los riesgos, el banco de desarrollo trabajará con el prestatario para elaborar un plan de gestión de riesgos</w:t>
            </w:r>
            <w:r w:rsidRPr="00CB6692">
              <w:rPr>
                <w:sz w:val="21"/>
                <w:szCs w:val="21"/>
                <w:highlight w:val="white"/>
                <w:lang w:val="es-MX"/>
              </w:rPr>
              <w:t>. Este plan incluirá medidas de mitigación para reducir los impactos negativos, así como planes de contingencia para hacer frente a las emergencias.</w:t>
            </w:r>
          </w:p>
          <w:p w14:paraId="5C73E5AB" w14:textId="77777777" w:rsidR="00CB6692" w:rsidRPr="00CB6692" w:rsidRDefault="00CB6692" w:rsidP="00CB6692">
            <w:pPr>
              <w:widowControl w:val="0"/>
              <w:spacing w:line="240" w:lineRule="auto"/>
              <w:rPr>
                <w:sz w:val="21"/>
                <w:szCs w:val="21"/>
                <w:highlight w:val="white"/>
                <w:lang w:val="es-MX"/>
              </w:rPr>
            </w:pPr>
          </w:p>
          <w:p w14:paraId="2ADBB261" w14:textId="77777777" w:rsidR="00CB6692" w:rsidRDefault="00CB6692" w:rsidP="00CB6692">
            <w:pPr>
              <w:widowControl w:val="0"/>
              <w:spacing w:line="240" w:lineRule="auto"/>
              <w:rPr>
                <w:sz w:val="21"/>
                <w:szCs w:val="21"/>
                <w:highlight w:val="white"/>
                <w:lang w:val="es-MX"/>
              </w:rPr>
            </w:pPr>
            <w:r w:rsidRPr="00CB6692">
              <w:rPr>
                <w:b/>
                <w:bCs/>
                <w:sz w:val="21"/>
                <w:szCs w:val="21"/>
                <w:highlight w:val="white"/>
                <w:lang w:val="es-MX"/>
              </w:rPr>
              <w:t>El SGRAS es un proceso continuo, que implica un seguimiento regular</w:t>
            </w:r>
            <w:r w:rsidRPr="00CB6692">
              <w:rPr>
                <w:sz w:val="21"/>
                <w:szCs w:val="21"/>
                <w:highlight w:val="white"/>
                <w:lang w:val="es-MX"/>
              </w:rPr>
              <w:t xml:space="preserve"> del proyecto para garantizar que las medidas de mitigación se aplican correctamente y que los riesgos medioambientales y sociales se gestionan de forma eficaz. En caso necesario, pueden introducirse ajustes en el plan de gestión de riesgos para garantizar que los riesgos se gestionan adecuadamente.</w:t>
            </w:r>
          </w:p>
          <w:p w14:paraId="288FAD1E" w14:textId="77777777" w:rsidR="00CB6692" w:rsidRDefault="00CB6692" w:rsidP="00CB6692">
            <w:pPr>
              <w:widowControl w:val="0"/>
              <w:spacing w:line="240" w:lineRule="auto"/>
              <w:rPr>
                <w:sz w:val="21"/>
                <w:szCs w:val="21"/>
                <w:highlight w:val="white"/>
                <w:lang w:val="es-MX"/>
              </w:rPr>
            </w:pPr>
          </w:p>
          <w:p w14:paraId="007B869B" w14:textId="77777777" w:rsidR="00CB6692" w:rsidRDefault="00CB6692" w:rsidP="00CB6692">
            <w:pPr>
              <w:widowControl w:val="0"/>
              <w:spacing w:line="240" w:lineRule="auto"/>
              <w:rPr>
                <w:sz w:val="21"/>
                <w:szCs w:val="21"/>
                <w:highlight w:val="white"/>
                <w:lang w:val="es-MX"/>
              </w:rPr>
            </w:pPr>
          </w:p>
          <w:p w14:paraId="58D1C562" w14:textId="77777777" w:rsidR="00CB6692" w:rsidRDefault="00CB6692" w:rsidP="00CB6692">
            <w:pPr>
              <w:widowControl w:val="0"/>
              <w:spacing w:line="240" w:lineRule="auto"/>
              <w:rPr>
                <w:sz w:val="21"/>
                <w:szCs w:val="21"/>
                <w:highlight w:val="white"/>
                <w:lang w:val="es-MX"/>
              </w:rPr>
            </w:pPr>
          </w:p>
          <w:p w14:paraId="20AEC1CB" w14:textId="77777777" w:rsidR="00CB6692" w:rsidRDefault="00CB6692" w:rsidP="00CB6692">
            <w:pPr>
              <w:widowControl w:val="0"/>
              <w:spacing w:line="240" w:lineRule="auto"/>
              <w:rPr>
                <w:sz w:val="21"/>
                <w:szCs w:val="21"/>
                <w:highlight w:val="white"/>
                <w:lang w:val="es-MX"/>
              </w:rPr>
            </w:pPr>
          </w:p>
          <w:p w14:paraId="0E9EAD48" w14:textId="77777777" w:rsidR="00CB6692" w:rsidRDefault="00CB6692" w:rsidP="00CB6692">
            <w:pPr>
              <w:widowControl w:val="0"/>
              <w:spacing w:line="240" w:lineRule="auto"/>
              <w:rPr>
                <w:sz w:val="21"/>
                <w:szCs w:val="21"/>
                <w:highlight w:val="white"/>
                <w:lang w:val="es-MX"/>
              </w:rPr>
            </w:pPr>
          </w:p>
          <w:p w14:paraId="20E6A968" w14:textId="77777777" w:rsidR="00CB6692" w:rsidRDefault="00CB6692" w:rsidP="00CB6692">
            <w:pPr>
              <w:widowControl w:val="0"/>
              <w:spacing w:line="240" w:lineRule="auto"/>
              <w:rPr>
                <w:sz w:val="21"/>
                <w:szCs w:val="21"/>
                <w:highlight w:val="white"/>
                <w:lang w:val="es-MX"/>
              </w:rPr>
            </w:pPr>
          </w:p>
          <w:p w14:paraId="61EFBF29" w14:textId="77777777" w:rsidR="00CB6692" w:rsidRDefault="00CB6692" w:rsidP="00CB6692">
            <w:pPr>
              <w:widowControl w:val="0"/>
              <w:spacing w:line="240" w:lineRule="auto"/>
              <w:rPr>
                <w:sz w:val="21"/>
                <w:szCs w:val="21"/>
                <w:highlight w:val="white"/>
                <w:lang w:val="es-MX"/>
              </w:rPr>
            </w:pPr>
          </w:p>
          <w:p w14:paraId="2936F8A4" w14:textId="77777777" w:rsidR="00CB6692" w:rsidRDefault="00CB6692" w:rsidP="00CB6692">
            <w:pPr>
              <w:widowControl w:val="0"/>
              <w:spacing w:line="240" w:lineRule="auto"/>
              <w:rPr>
                <w:sz w:val="21"/>
                <w:szCs w:val="21"/>
                <w:highlight w:val="white"/>
                <w:lang w:val="es-MX"/>
              </w:rPr>
            </w:pPr>
          </w:p>
          <w:p w14:paraId="7F74A7EB" w14:textId="77777777" w:rsidR="00CB6692" w:rsidRDefault="00CB6692" w:rsidP="00CB6692">
            <w:pPr>
              <w:widowControl w:val="0"/>
              <w:spacing w:line="240" w:lineRule="auto"/>
              <w:rPr>
                <w:sz w:val="21"/>
                <w:szCs w:val="21"/>
                <w:highlight w:val="white"/>
                <w:lang w:val="es-MX"/>
              </w:rPr>
            </w:pPr>
          </w:p>
          <w:p w14:paraId="6E963471" w14:textId="77777777" w:rsidR="00CB6692" w:rsidRDefault="00CB6692" w:rsidP="00CB6692">
            <w:pPr>
              <w:widowControl w:val="0"/>
              <w:spacing w:line="240" w:lineRule="auto"/>
              <w:rPr>
                <w:sz w:val="21"/>
                <w:szCs w:val="21"/>
                <w:highlight w:val="white"/>
                <w:lang w:val="es-MX"/>
              </w:rPr>
            </w:pPr>
          </w:p>
          <w:p w14:paraId="666AC855" w14:textId="77777777" w:rsidR="00CB6692" w:rsidRDefault="00CB6692" w:rsidP="00CB6692">
            <w:pPr>
              <w:widowControl w:val="0"/>
              <w:spacing w:line="240" w:lineRule="auto"/>
              <w:rPr>
                <w:sz w:val="21"/>
                <w:szCs w:val="21"/>
                <w:highlight w:val="white"/>
                <w:lang w:val="es-MX"/>
              </w:rPr>
            </w:pPr>
          </w:p>
          <w:p w14:paraId="47E9D758" w14:textId="77777777" w:rsidR="00CB6692" w:rsidRPr="00CB6692" w:rsidRDefault="00CB6692" w:rsidP="00CB6692">
            <w:pPr>
              <w:pStyle w:val="Titolo3"/>
              <w:widowControl w:val="0"/>
              <w:rPr>
                <w:color w:val="00BE7F"/>
                <w:lang w:val="es-MX"/>
              </w:rPr>
            </w:pPr>
            <w:r w:rsidRPr="00CB6692">
              <w:rPr>
                <w:color w:val="00BE7F"/>
                <w:lang w:val="es-MX"/>
              </w:rPr>
              <w:t>Mapa de vulnerabilidades</w:t>
            </w:r>
          </w:p>
          <w:p w14:paraId="70F73238" w14:textId="77777777" w:rsidR="00CB6692" w:rsidRPr="00CB6692" w:rsidRDefault="00CB6692" w:rsidP="00CB6692">
            <w:pPr>
              <w:widowControl w:val="0"/>
              <w:spacing w:line="240" w:lineRule="auto"/>
              <w:rPr>
                <w:sz w:val="21"/>
                <w:szCs w:val="21"/>
                <w:highlight w:val="white"/>
                <w:lang w:val="es-MX"/>
              </w:rPr>
            </w:pPr>
            <w:r w:rsidRPr="00CB6692">
              <w:rPr>
                <w:b/>
                <w:bCs/>
                <w:sz w:val="21"/>
                <w:szCs w:val="21"/>
                <w:highlight w:val="white"/>
                <w:lang w:val="es-MX"/>
              </w:rPr>
              <w:t xml:space="preserve">Un mapa de vulnerabilidad </w:t>
            </w:r>
            <w:r w:rsidRPr="00CB6692">
              <w:rPr>
                <w:sz w:val="21"/>
                <w:szCs w:val="21"/>
                <w:highlight w:val="white"/>
                <w:lang w:val="es-MX"/>
              </w:rPr>
              <w:t>es una herramienta que permite identificar las zonas geográficas y los sectores de actividad más vulnerables a los efectos del cambio climático. A continuación, se describe cómo se construye un mapa de vulnerabilidad y su papel en las decisiones de inversión de los bancos. La construcción implica varios pasos:</w:t>
            </w:r>
          </w:p>
          <w:p w14:paraId="564E73B8" w14:textId="77777777" w:rsidR="00CB6692" w:rsidRPr="00CB6692" w:rsidRDefault="00CB6692" w:rsidP="00CB6692">
            <w:pPr>
              <w:widowControl w:val="0"/>
              <w:numPr>
                <w:ilvl w:val="0"/>
                <w:numId w:val="4"/>
              </w:numPr>
              <w:spacing w:line="240" w:lineRule="auto"/>
              <w:rPr>
                <w:sz w:val="21"/>
                <w:szCs w:val="21"/>
                <w:highlight w:val="white"/>
                <w:lang w:val="es-MX"/>
              </w:rPr>
            </w:pPr>
            <w:r w:rsidRPr="00CB6692">
              <w:rPr>
                <w:b/>
                <w:bCs/>
                <w:sz w:val="21"/>
                <w:szCs w:val="21"/>
                <w:highlight w:val="white"/>
                <w:lang w:val="es-MX"/>
              </w:rPr>
              <w:t>Recogida de datos sobre las condiciones climáticas actuales y futuras</w:t>
            </w:r>
            <w:r w:rsidRPr="00CB6692">
              <w:rPr>
                <w:sz w:val="21"/>
                <w:szCs w:val="21"/>
                <w:highlight w:val="white"/>
                <w:lang w:val="es-MX"/>
              </w:rPr>
              <w:t xml:space="preserve">: precipitaciones, temperatura, viento, olas de calor y frío, inundaciones, sequías, tormentas, etc. </w:t>
            </w:r>
          </w:p>
          <w:p w14:paraId="1ABA50E8" w14:textId="77777777" w:rsidR="00CB6692" w:rsidRPr="00CB6692" w:rsidRDefault="00CB6692" w:rsidP="00CB6692">
            <w:pPr>
              <w:widowControl w:val="0"/>
              <w:numPr>
                <w:ilvl w:val="0"/>
                <w:numId w:val="4"/>
              </w:numPr>
              <w:spacing w:line="240" w:lineRule="auto"/>
              <w:rPr>
                <w:sz w:val="21"/>
                <w:szCs w:val="21"/>
                <w:highlight w:val="white"/>
                <w:lang w:val="es-MX"/>
              </w:rPr>
            </w:pPr>
            <w:r w:rsidRPr="00CB6692">
              <w:rPr>
                <w:b/>
                <w:bCs/>
                <w:sz w:val="21"/>
                <w:szCs w:val="21"/>
                <w:highlight w:val="white"/>
                <w:lang w:val="es-MX"/>
              </w:rPr>
              <w:t xml:space="preserve">A continuación, estos datos se procesan </w:t>
            </w:r>
            <w:r w:rsidRPr="00CB6692">
              <w:rPr>
                <w:sz w:val="21"/>
                <w:szCs w:val="21"/>
                <w:highlight w:val="white"/>
                <w:lang w:val="es-MX"/>
              </w:rPr>
              <w:t>para identificar las zonas geográficas y los sectores de actividad más vulnerables a los efectos del cambio climático.</w:t>
            </w:r>
          </w:p>
          <w:p w14:paraId="78BE9FCE" w14:textId="77777777" w:rsidR="00CB6692" w:rsidRPr="00CB6692" w:rsidRDefault="00CB6692" w:rsidP="00CB6692">
            <w:pPr>
              <w:widowControl w:val="0"/>
              <w:numPr>
                <w:ilvl w:val="0"/>
                <w:numId w:val="4"/>
              </w:numPr>
              <w:spacing w:line="240" w:lineRule="auto"/>
              <w:rPr>
                <w:sz w:val="21"/>
                <w:szCs w:val="21"/>
                <w:highlight w:val="white"/>
                <w:lang w:val="es-MX"/>
              </w:rPr>
            </w:pPr>
            <w:r w:rsidRPr="00CB6692">
              <w:rPr>
                <w:b/>
                <w:bCs/>
                <w:sz w:val="21"/>
                <w:szCs w:val="21"/>
                <w:highlight w:val="white"/>
                <w:lang w:val="es-MX"/>
              </w:rPr>
              <w:t xml:space="preserve">Se puede crear un mapa de vulnerabilidad para visualizar esta información de forma </w:t>
            </w:r>
            <w:r w:rsidRPr="00CB6692">
              <w:rPr>
                <w:sz w:val="21"/>
                <w:szCs w:val="21"/>
                <w:highlight w:val="white"/>
                <w:lang w:val="es-MX"/>
              </w:rPr>
              <w:t xml:space="preserve">clara y concisa. Los mapas de vulnerabilidad pueden presentarse en forma gráfica, tabular o geográfica según la sensibilidad y la exposición a los impactos climáticos </w:t>
            </w:r>
          </w:p>
          <w:p w14:paraId="4405A5A3" w14:textId="77777777" w:rsidR="00CB6692" w:rsidRDefault="00CB6692" w:rsidP="00CB6692">
            <w:pPr>
              <w:widowControl w:val="0"/>
              <w:numPr>
                <w:ilvl w:val="0"/>
                <w:numId w:val="4"/>
              </w:numPr>
              <w:spacing w:line="240" w:lineRule="auto"/>
              <w:rPr>
                <w:sz w:val="21"/>
                <w:szCs w:val="21"/>
                <w:highlight w:val="white"/>
                <w:lang w:val="es-MX"/>
              </w:rPr>
            </w:pPr>
            <w:r w:rsidRPr="00CB6692">
              <w:rPr>
                <w:b/>
                <w:bCs/>
                <w:sz w:val="21"/>
                <w:szCs w:val="21"/>
                <w:highlight w:val="white"/>
                <w:lang w:val="es-MX"/>
              </w:rPr>
              <w:t>Modelización de escenarios climáticos futuros</w:t>
            </w:r>
            <w:r w:rsidRPr="00CB6692">
              <w:rPr>
                <w:sz w:val="21"/>
                <w:szCs w:val="21"/>
                <w:highlight w:val="white"/>
                <w:lang w:val="es-MX"/>
              </w:rPr>
              <w:t>.</w:t>
            </w:r>
          </w:p>
          <w:p w14:paraId="4E694811" w14:textId="77777777" w:rsidR="00CB6692" w:rsidRPr="00CB6692" w:rsidRDefault="00CB6692" w:rsidP="00CB6692">
            <w:pPr>
              <w:widowControl w:val="0"/>
              <w:spacing w:line="240" w:lineRule="auto"/>
              <w:ind w:left="720"/>
              <w:rPr>
                <w:sz w:val="21"/>
                <w:szCs w:val="21"/>
                <w:highlight w:val="white"/>
                <w:lang w:val="es-MX"/>
              </w:rPr>
            </w:pPr>
          </w:p>
          <w:p w14:paraId="27B0252C" w14:textId="77777777" w:rsidR="00CB6692" w:rsidRDefault="00CB6692" w:rsidP="00CB6692">
            <w:pPr>
              <w:widowControl w:val="0"/>
              <w:spacing w:line="240" w:lineRule="auto"/>
              <w:rPr>
                <w:sz w:val="21"/>
                <w:szCs w:val="21"/>
                <w:highlight w:val="white"/>
                <w:lang w:val="es-MX"/>
              </w:rPr>
            </w:pPr>
            <w:r w:rsidRPr="00CB6692">
              <w:rPr>
                <w:sz w:val="21"/>
                <w:szCs w:val="21"/>
                <w:highlight w:val="white"/>
                <w:lang w:val="es-MX"/>
              </w:rPr>
              <w:t>El papel del mapa de vulnerabilidad en las decisiones de inversión de los bancos es crucial. Ayuda a comprender mejor los riesgos asociados a los proyectos en zonas geográficas específicas y a determinar las medidas de adaptación necesarias para garantizar la sostenibilidad a largo plazo de los proyectos.</w:t>
            </w:r>
          </w:p>
          <w:p w14:paraId="3E19246A" w14:textId="77777777" w:rsidR="00CB6692" w:rsidRPr="00CB6692" w:rsidRDefault="00CB6692" w:rsidP="00CB6692">
            <w:pPr>
              <w:widowControl w:val="0"/>
              <w:spacing w:line="240" w:lineRule="auto"/>
              <w:rPr>
                <w:sz w:val="21"/>
                <w:szCs w:val="21"/>
                <w:highlight w:val="white"/>
                <w:lang w:val="es-MX"/>
              </w:rPr>
            </w:pPr>
          </w:p>
          <w:p w14:paraId="2B8EE359" w14:textId="77777777" w:rsidR="00CB6692" w:rsidRPr="00CB6692" w:rsidRDefault="00CB6692" w:rsidP="00CB6692">
            <w:pPr>
              <w:widowControl w:val="0"/>
              <w:spacing w:line="240" w:lineRule="auto"/>
              <w:rPr>
                <w:sz w:val="21"/>
                <w:szCs w:val="21"/>
                <w:highlight w:val="white"/>
                <w:lang w:val="es-MX"/>
              </w:rPr>
            </w:pPr>
            <w:r w:rsidRPr="00CB6692">
              <w:rPr>
                <w:sz w:val="21"/>
                <w:szCs w:val="21"/>
                <w:highlight w:val="white"/>
                <w:lang w:val="es-MX"/>
              </w:rPr>
              <w:t>Los mapas de vulnerabilidad también pueden ayudar a los bancos a comunicar los riesgos climáticos a las partes interesadas y a concienciar sobre la importancia de la adaptación al cambio climático. En última instancia, la elaboración de un mapa de vulnerabilidad puede ayudar a los bancos a tomar decisiones informadas sobre la financiación de proyectos y garantizar la sostenibilidad a largo plazo de sus inversiones frente a los desafíos climáticos.</w:t>
            </w:r>
          </w:p>
          <w:p w14:paraId="3A6FE566" w14:textId="77777777" w:rsidR="00CB6692" w:rsidRDefault="00CB6692" w:rsidP="00CB6692">
            <w:pPr>
              <w:widowControl w:val="0"/>
              <w:spacing w:line="240" w:lineRule="auto"/>
              <w:rPr>
                <w:sz w:val="21"/>
                <w:szCs w:val="21"/>
                <w:highlight w:val="white"/>
                <w:lang w:val="es-MX"/>
              </w:rPr>
            </w:pPr>
          </w:p>
          <w:p w14:paraId="08734199" w14:textId="77777777" w:rsidR="00CB6692" w:rsidRDefault="00CB6692" w:rsidP="00CB6692">
            <w:pPr>
              <w:widowControl w:val="0"/>
              <w:spacing w:line="240" w:lineRule="auto"/>
              <w:rPr>
                <w:sz w:val="21"/>
                <w:szCs w:val="21"/>
                <w:highlight w:val="white"/>
                <w:lang w:val="es-MX"/>
              </w:rPr>
            </w:pPr>
          </w:p>
          <w:p w14:paraId="0F6AC8FE" w14:textId="4EC76899" w:rsidR="00A73F7E" w:rsidRPr="00305049" w:rsidRDefault="00A73F7E" w:rsidP="00CB6692">
            <w:pPr>
              <w:widowControl w:val="0"/>
              <w:spacing w:line="240" w:lineRule="auto"/>
              <w:rPr>
                <w:b/>
                <w:bCs/>
                <w:sz w:val="21"/>
                <w:szCs w:val="21"/>
                <w:highlight w:val="white"/>
                <w:lang w:val="es-MX"/>
              </w:rPr>
            </w:pPr>
          </w:p>
        </w:tc>
        <w:tc>
          <w:tcPr>
            <w:tcW w:w="482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BDF3AF" w14:textId="77777777" w:rsidR="00CB6692" w:rsidRDefault="00CB6692" w:rsidP="00CB6692">
            <w:pPr>
              <w:pStyle w:val="Paragrafoelenco"/>
              <w:spacing w:line="240" w:lineRule="auto"/>
              <w:ind w:left="1080"/>
              <w:rPr>
                <w:sz w:val="32"/>
                <w:szCs w:val="32"/>
                <w:lang w:val="es-CO"/>
              </w:rPr>
            </w:pPr>
          </w:p>
          <w:p w14:paraId="2363E06F" w14:textId="77777777" w:rsidR="00CB6692" w:rsidRDefault="00CB6692" w:rsidP="00CB6692">
            <w:pPr>
              <w:pStyle w:val="Paragrafoelenco"/>
              <w:spacing w:line="240" w:lineRule="auto"/>
              <w:ind w:left="1080"/>
              <w:rPr>
                <w:sz w:val="32"/>
                <w:szCs w:val="32"/>
                <w:lang w:val="es-CO"/>
              </w:rPr>
            </w:pPr>
          </w:p>
          <w:p w14:paraId="3CE3945A" w14:textId="77777777" w:rsidR="00CB6692" w:rsidRDefault="00CB6692" w:rsidP="00CB6692">
            <w:pPr>
              <w:pStyle w:val="Titolo3"/>
              <w:widowControl w:val="0"/>
              <w:rPr>
                <w:color w:val="00BE7F"/>
                <w:lang w:val="es-MX"/>
              </w:rPr>
            </w:pPr>
            <w:r w:rsidRPr="00CB6692">
              <w:rPr>
                <w:color w:val="00BE7F"/>
                <w:lang w:val="es-MX"/>
              </w:rPr>
              <w:t>Mapa de calor</w:t>
            </w:r>
          </w:p>
          <w:p w14:paraId="2575A2F4" w14:textId="77777777" w:rsidR="00CB6692" w:rsidRPr="00CB6692" w:rsidRDefault="00CB6692" w:rsidP="00CB6692">
            <w:pPr>
              <w:rPr>
                <w:lang w:val="es-MX"/>
              </w:rPr>
            </w:pPr>
          </w:p>
          <w:p w14:paraId="01BF087B" w14:textId="77777777" w:rsidR="00CB6692" w:rsidRDefault="00CB6692" w:rsidP="00CB6692">
            <w:pPr>
              <w:widowControl w:val="0"/>
              <w:spacing w:line="240" w:lineRule="auto"/>
              <w:rPr>
                <w:sz w:val="21"/>
                <w:szCs w:val="21"/>
                <w:highlight w:val="white"/>
                <w:lang w:val="es-MX"/>
              </w:rPr>
            </w:pPr>
            <w:r w:rsidRPr="00CB6692">
              <w:rPr>
                <w:sz w:val="21"/>
                <w:szCs w:val="21"/>
                <w:highlight w:val="white"/>
                <w:lang w:val="es-MX"/>
              </w:rPr>
              <w:t xml:space="preserve">Las herramientas </w:t>
            </w:r>
            <w:r w:rsidRPr="00CB6692">
              <w:rPr>
                <w:b/>
                <w:bCs/>
                <w:sz w:val="21"/>
                <w:szCs w:val="21"/>
                <w:highlight w:val="white"/>
                <w:lang w:val="es-MX"/>
              </w:rPr>
              <w:t xml:space="preserve">de cartografía térmica </w:t>
            </w:r>
            <w:r w:rsidRPr="00CB6692">
              <w:rPr>
                <w:sz w:val="21"/>
                <w:szCs w:val="21"/>
                <w:highlight w:val="white"/>
                <w:lang w:val="es-MX"/>
              </w:rPr>
              <w:t xml:space="preserve">son cada vez más eficaces para evaluar los riesgos climáticos a los que pueden estar expuestos los proyectos financiados por los bancos. </w:t>
            </w:r>
          </w:p>
          <w:p w14:paraId="716BD85D" w14:textId="77777777" w:rsidR="00CB6692" w:rsidRPr="00CB6692" w:rsidRDefault="00CB6692" w:rsidP="00CB6692">
            <w:pPr>
              <w:widowControl w:val="0"/>
              <w:spacing w:line="240" w:lineRule="auto"/>
              <w:rPr>
                <w:sz w:val="21"/>
                <w:szCs w:val="21"/>
                <w:highlight w:val="white"/>
                <w:lang w:val="es-MX"/>
              </w:rPr>
            </w:pPr>
          </w:p>
          <w:p w14:paraId="18B50A9D" w14:textId="77777777" w:rsidR="00CB6692" w:rsidRDefault="00CB6692" w:rsidP="00CB6692">
            <w:pPr>
              <w:widowControl w:val="0"/>
              <w:spacing w:line="240" w:lineRule="auto"/>
              <w:rPr>
                <w:sz w:val="21"/>
                <w:szCs w:val="21"/>
                <w:highlight w:val="white"/>
                <w:lang w:val="es-MX"/>
              </w:rPr>
            </w:pPr>
            <w:r w:rsidRPr="00CB6692">
              <w:rPr>
                <w:b/>
                <w:bCs/>
                <w:sz w:val="21"/>
                <w:szCs w:val="21"/>
                <w:highlight w:val="white"/>
                <w:lang w:val="es-MX"/>
              </w:rPr>
              <w:t>Los mapas de calor</w:t>
            </w:r>
            <w:r w:rsidRPr="00CB6692">
              <w:rPr>
                <w:sz w:val="21"/>
                <w:szCs w:val="21"/>
                <w:highlight w:val="white"/>
                <w:lang w:val="es-MX"/>
              </w:rPr>
              <w:t xml:space="preserve"> son representaciones gráficas de los riesgos climáticos basadas en datos geoespaciales. Se utilizan para visualizar las zonas geográficas más expuestas a riesgos climáticos como temperaturas extremas, sequías, inundaciones, corrimientos de tierras, etc.</w:t>
            </w:r>
          </w:p>
          <w:p w14:paraId="43AEF3DE" w14:textId="77777777" w:rsidR="00CB6692" w:rsidRPr="00CB6692" w:rsidRDefault="00CB6692" w:rsidP="00CB6692">
            <w:pPr>
              <w:widowControl w:val="0"/>
              <w:spacing w:line="240" w:lineRule="auto"/>
              <w:rPr>
                <w:sz w:val="21"/>
                <w:szCs w:val="21"/>
                <w:highlight w:val="white"/>
                <w:lang w:val="es-MX"/>
              </w:rPr>
            </w:pPr>
          </w:p>
          <w:p w14:paraId="7464D7CA" w14:textId="77777777" w:rsidR="00CB6692" w:rsidRDefault="00CB6692" w:rsidP="00CB6692">
            <w:pPr>
              <w:widowControl w:val="0"/>
              <w:spacing w:line="240" w:lineRule="auto"/>
              <w:rPr>
                <w:sz w:val="21"/>
                <w:szCs w:val="21"/>
                <w:highlight w:val="white"/>
                <w:lang w:val="es-MX"/>
              </w:rPr>
            </w:pPr>
            <w:r w:rsidRPr="00CB6692">
              <w:rPr>
                <w:sz w:val="21"/>
                <w:szCs w:val="21"/>
                <w:highlight w:val="white"/>
                <w:lang w:val="es-MX"/>
              </w:rPr>
              <w:t>Estos mapas pueden generarse utilizando datos históricos, modelos climáticos futuros, datos sobre vulnerabilidad y otra información pertinente. Los mapas de calor suelen utilizarse para identificar las zonas geográficas y los sectores de actividad más expuestos a los riesgos climáticos, con el fin de determinar qué proyectos son más vulnerables a los efectos del cambio climático.</w:t>
            </w:r>
          </w:p>
          <w:p w14:paraId="6D2F688E" w14:textId="77777777" w:rsidR="00CB6692" w:rsidRPr="00CB6692" w:rsidRDefault="00CB6692" w:rsidP="00CB6692">
            <w:pPr>
              <w:widowControl w:val="0"/>
              <w:spacing w:line="240" w:lineRule="auto"/>
              <w:rPr>
                <w:sz w:val="21"/>
                <w:szCs w:val="21"/>
                <w:highlight w:val="white"/>
                <w:lang w:val="es-MX"/>
              </w:rPr>
            </w:pPr>
          </w:p>
          <w:p w14:paraId="7CBA5CE3" w14:textId="77777777" w:rsidR="00CB6692" w:rsidRDefault="00CB6692" w:rsidP="00CB6692">
            <w:pPr>
              <w:widowControl w:val="0"/>
              <w:spacing w:line="240" w:lineRule="auto"/>
              <w:rPr>
                <w:sz w:val="21"/>
                <w:szCs w:val="21"/>
                <w:lang w:val="es-MX"/>
              </w:rPr>
            </w:pPr>
            <w:r w:rsidRPr="00CB6692">
              <w:rPr>
                <w:sz w:val="21"/>
                <w:szCs w:val="21"/>
                <w:highlight w:val="white"/>
                <w:lang w:val="es-MX"/>
              </w:rPr>
              <w:t>Los bancos también pueden utilizar los mapas de calor para evaluar los riesgos climáticos de los proyectos existentes o futuros y desarrollar planes de adaptación adecuados. Los mapas de calor también pueden ayudar a los bancos a comunicar los riesgos climáticos a las partes interesadas y a concienciar sobre la importancia de la adaptación al cambio climático.</w:t>
            </w:r>
          </w:p>
          <w:p w14:paraId="5BF19B9F" w14:textId="77777777" w:rsidR="00CB6692" w:rsidRDefault="00CB6692" w:rsidP="00CB6692">
            <w:pPr>
              <w:widowControl w:val="0"/>
              <w:spacing w:line="240" w:lineRule="auto"/>
              <w:rPr>
                <w:sz w:val="21"/>
                <w:szCs w:val="21"/>
                <w:highlight w:val="white"/>
                <w:lang w:val="es-MX"/>
              </w:rPr>
            </w:pPr>
            <w:r w:rsidRPr="00CB6692">
              <w:rPr>
                <w:sz w:val="21"/>
                <w:szCs w:val="21"/>
                <w:highlight w:val="white"/>
                <w:lang w:val="es-MX"/>
              </w:rPr>
              <w:t>Los bancos deben ahora tener en cuenta los riesgos climáticos. Para evaluar estos riesgos, pueden utilizar diferentes herramientas basadas en modelos climáticos y de vulnerabilidad:</w:t>
            </w:r>
          </w:p>
          <w:p w14:paraId="7A49868C" w14:textId="77777777" w:rsidR="00CB6692" w:rsidRPr="00CB6692" w:rsidRDefault="00CB6692" w:rsidP="00CB6692">
            <w:pPr>
              <w:widowControl w:val="0"/>
              <w:spacing w:line="240" w:lineRule="auto"/>
              <w:rPr>
                <w:sz w:val="21"/>
                <w:szCs w:val="21"/>
                <w:highlight w:val="white"/>
                <w:lang w:val="es-MX"/>
              </w:rPr>
            </w:pPr>
          </w:p>
          <w:p w14:paraId="6692AEB1" w14:textId="77777777" w:rsidR="00CB6692" w:rsidRDefault="00CB6692" w:rsidP="00CB6692">
            <w:pPr>
              <w:widowControl w:val="0"/>
              <w:spacing w:line="240" w:lineRule="auto"/>
              <w:rPr>
                <w:sz w:val="21"/>
                <w:szCs w:val="21"/>
                <w:lang w:val="es-MX"/>
              </w:rPr>
            </w:pPr>
            <w:r w:rsidRPr="00CB6692">
              <w:rPr>
                <w:b/>
                <w:bCs/>
                <w:sz w:val="21"/>
                <w:szCs w:val="21"/>
                <w:highlight w:val="white"/>
                <w:lang w:val="es-MX"/>
              </w:rPr>
              <w:t>Análisis de escenarios climáticos:</w:t>
            </w:r>
            <w:r w:rsidRPr="00CB6692">
              <w:rPr>
                <w:sz w:val="21"/>
                <w:szCs w:val="21"/>
                <w:highlight w:val="white"/>
                <w:lang w:val="es-MX"/>
              </w:rPr>
              <w:t xml:space="preserve"> Este análisis proyecta los impactos del cambio climático sobre las zonas geográficas y los sectores de actividad a los que se dirigen los proyectos. También ayuda a comprender los futuros riesgos climáticos a los que pueden estar expuestos los proyectos.</w:t>
            </w:r>
          </w:p>
          <w:p w14:paraId="77B663EF" w14:textId="77777777" w:rsidR="00CB6692" w:rsidRDefault="00CB6692" w:rsidP="00CB6692">
            <w:pPr>
              <w:widowControl w:val="0"/>
              <w:spacing w:line="240" w:lineRule="auto"/>
              <w:rPr>
                <w:sz w:val="21"/>
                <w:szCs w:val="21"/>
                <w:lang w:val="es-MX"/>
              </w:rPr>
            </w:pPr>
          </w:p>
          <w:p w14:paraId="3D3D04BD" w14:textId="77777777" w:rsidR="00CB6692" w:rsidRDefault="00CB6692" w:rsidP="00CB6692">
            <w:pPr>
              <w:widowControl w:val="0"/>
              <w:spacing w:line="240" w:lineRule="auto"/>
              <w:rPr>
                <w:sz w:val="21"/>
                <w:szCs w:val="21"/>
                <w:lang w:val="es-MX"/>
              </w:rPr>
            </w:pPr>
          </w:p>
          <w:p w14:paraId="31C9C810" w14:textId="77777777" w:rsidR="00CB6692" w:rsidRDefault="00CB6692" w:rsidP="00CB6692">
            <w:pPr>
              <w:widowControl w:val="0"/>
              <w:spacing w:line="240" w:lineRule="auto"/>
              <w:rPr>
                <w:sz w:val="21"/>
                <w:szCs w:val="21"/>
                <w:lang w:val="es-MX"/>
              </w:rPr>
            </w:pPr>
          </w:p>
          <w:p w14:paraId="787C41BA" w14:textId="77777777" w:rsidR="00CB6692" w:rsidRDefault="00CB6692" w:rsidP="00CB6692">
            <w:pPr>
              <w:widowControl w:val="0"/>
              <w:spacing w:line="240" w:lineRule="auto"/>
              <w:rPr>
                <w:sz w:val="21"/>
                <w:szCs w:val="21"/>
                <w:lang w:val="es-MX"/>
              </w:rPr>
            </w:pPr>
          </w:p>
          <w:p w14:paraId="5FFF9A5C" w14:textId="77777777" w:rsidR="00CB6692" w:rsidRDefault="00CB6692" w:rsidP="00CB6692">
            <w:pPr>
              <w:widowControl w:val="0"/>
              <w:spacing w:line="240" w:lineRule="auto"/>
              <w:rPr>
                <w:sz w:val="21"/>
                <w:szCs w:val="21"/>
                <w:lang w:val="es-MX"/>
              </w:rPr>
            </w:pPr>
          </w:p>
          <w:p w14:paraId="659C7760" w14:textId="77777777" w:rsidR="00CB6692" w:rsidRDefault="00CB6692" w:rsidP="00CB6692">
            <w:pPr>
              <w:widowControl w:val="0"/>
              <w:spacing w:line="240" w:lineRule="auto"/>
              <w:rPr>
                <w:sz w:val="21"/>
                <w:szCs w:val="21"/>
                <w:lang w:val="es-MX"/>
              </w:rPr>
            </w:pPr>
          </w:p>
          <w:p w14:paraId="17DC88CA" w14:textId="77777777" w:rsidR="00CB6692" w:rsidRDefault="00CB6692" w:rsidP="00CB6692">
            <w:pPr>
              <w:widowControl w:val="0"/>
              <w:spacing w:line="240" w:lineRule="auto"/>
              <w:rPr>
                <w:sz w:val="21"/>
                <w:szCs w:val="21"/>
                <w:lang w:val="es-MX"/>
              </w:rPr>
            </w:pPr>
          </w:p>
          <w:p w14:paraId="5E14B602" w14:textId="77777777" w:rsidR="00CB6692" w:rsidRDefault="00CB6692" w:rsidP="00CB6692">
            <w:pPr>
              <w:widowControl w:val="0"/>
              <w:spacing w:line="240" w:lineRule="auto"/>
              <w:rPr>
                <w:sz w:val="21"/>
                <w:szCs w:val="21"/>
                <w:lang w:val="es-MX"/>
              </w:rPr>
            </w:pPr>
          </w:p>
          <w:p w14:paraId="56E9036F" w14:textId="77777777" w:rsidR="00CB6692" w:rsidRDefault="00CB6692" w:rsidP="00CB6692">
            <w:pPr>
              <w:widowControl w:val="0"/>
              <w:spacing w:line="240" w:lineRule="auto"/>
              <w:rPr>
                <w:sz w:val="21"/>
                <w:szCs w:val="21"/>
                <w:lang w:val="es-MX"/>
              </w:rPr>
            </w:pPr>
          </w:p>
          <w:p w14:paraId="61149120" w14:textId="595B9C0B" w:rsidR="00CB6692" w:rsidRPr="00A73F7E" w:rsidRDefault="00CB6692" w:rsidP="00A73F7E">
            <w:pPr>
              <w:pStyle w:val="Titolo3"/>
              <w:widowControl w:val="0"/>
              <w:rPr>
                <w:color w:val="00BE7F"/>
                <w:lang w:val="es-MX"/>
              </w:rPr>
            </w:pPr>
            <w:r w:rsidRPr="00A73F7E">
              <w:rPr>
                <w:color w:val="00BE7F"/>
                <w:lang w:val="es-MX"/>
              </w:rPr>
              <w:t>Grupo de trabajo sobre divulgación de información financiera relacionada con el clima (TCFD)</w:t>
            </w:r>
          </w:p>
          <w:p w14:paraId="6D10614C" w14:textId="2A7E2817" w:rsidR="00CB6692" w:rsidRPr="00A73F7E" w:rsidRDefault="00CB6692" w:rsidP="00CB6692">
            <w:pPr>
              <w:widowControl w:val="0"/>
              <w:spacing w:line="240" w:lineRule="auto"/>
              <w:rPr>
                <w:sz w:val="21"/>
                <w:szCs w:val="21"/>
                <w:highlight w:val="white"/>
                <w:lang w:val="es-MX"/>
              </w:rPr>
            </w:pPr>
            <w:r w:rsidRPr="00A73F7E">
              <w:rPr>
                <w:sz w:val="21"/>
                <w:szCs w:val="21"/>
                <w:highlight w:val="white"/>
                <w:lang w:val="es-MX"/>
              </w:rPr>
              <w:t xml:space="preserve">La </w:t>
            </w:r>
            <w:proofErr w:type="gramStart"/>
            <w:r w:rsidRPr="00A73F7E">
              <w:rPr>
                <w:sz w:val="21"/>
                <w:szCs w:val="21"/>
                <w:highlight w:val="white"/>
                <w:lang w:val="es-MX"/>
              </w:rPr>
              <w:t>TCFD  es</w:t>
            </w:r>
            <w:proofErr w:type="gramEnd"/>
            <w:r w:rsidRPr="00A73F7E">
              <w:rPr>
                <w:sz w:val="21"/>
                <w:szCs w:val="21"/>
                <w:highlight w:val="white"/>
                <w:lang w:val="es-MX"/>
              </w:rPr>
              <w:t xml:space="preserve"> una iniciativa lanzada en 2015 por el Consejo de Estabilidad Financiera (CEF) del G20 para animar a las empresas a divulgar los riesgos financieros del cambio climático en sus informes financieros. El TCFD publicó un marco de divulgación voluntaria en 2017 para ayudar a las empresas a divulgar información financiera relacionada con los riesgos y oportunidades del cambio climático de forma transparente y coherente. El marco incluye recomendaciones sobre la divulgación de riesgos físicos y de transición, oportunidades, escenarios de pruebas de resistencia e indicadores clave de rendimiento en cuatro categorías principales:</w:t>
            </w:r>
            <w:r w:rsidR="00A73F7E">
              <w:rPr>
                <w:sz w:val="21"/>
                <w:szCs w:val="21"/>
                <w:highlight w:val="white"/>
                <w:lang w:val="es-MX"/>
              </w:rPr>
              <w:br/>
            </w:r>
          </w:p>
          <w:p w14:paraId="2871974C" w14:textId="03563ACC" w:rsidR="00CB6692" w:rsidRPr="00A73F7E" w:rsidRDefault="00CB6692" w:rsidP="00A73F7E">
            <w:pPr>
              <w:pStyle w:val="Paragrafoelenco"/>
              <w:widowControl w:val="0"/>
              <w:numPr>
                <w:ilvl w:val="0"/>
                <w:numId w:val="6"/>
              </w:numPr>
              <w:spacing w:line="240" w:lineRule="auto"/>
              <w:rPr>
                <w:sz w:val="21"/>
                <w:szCs w:val="21"/>
                <w:highlight w:val="white"/>
                <w:lang w:val="es-MX"/>
              </w:rPr>
            </w:pPr>
            <w:r w:rsidRPr="00A73F7E">
              <w:rPr>
                <w:sz w:val="21"/>
                <w:szCs w:val="21"/>
                <w:highlight w:val="white"/>
                <w:lang w:val="es-MX"/>
              </w:rPr>
              <w:t xml:space="preserve">Gobernanza empresarial del cambio climático, </w:t>
            </w:r>
          </w:p>
          <w:p w14:paraId="28C60DA9" w14:textId="6394F886" w:rsidR="00CB6692" w:rsidRPr="00A73F7E" w:rsidRDefault="00CB6692" w:rsidP="00A73F7E">
            <w:pPr>
              <w:pStyle w:val="Paragrafoelenco"/>
              <w:widowControl w:val="0"/>
              <w:numPr>
                <w:ilvl w:val="0"/>
                <w:numId w:val="6"/>
              </w:numPr>
              <w:spacing w:line="240" w:lineRule="auto"/>
              <w:rPr>
                <w:sz w:val="21"/>
                <w:szCs w:val="21"/>
                <w:highlight w:val="white"/>
                <w:lang w:val="es-MX"/>
              </w:rPr>
            </w:pPr>
            <w:r w:rsidRPr="00A73F7E">
              <w:rPr>
                <w:sz w:val="21"/>
                <w:szCs w:val="21"/>
                <w:highlight w:val="white"/>
                <w:lang w:val="es-MX"/>
              </w:rPr>
              <w:t xml:space="preserve">Riesgos climáticos físicos y transitorios. </w:t>
            </w:r>
          </w:p>
          <w:p w14:paraId="5106D812" w14:textId="7459C4E8" w:rsidR="00CB6692" w:rsidRPr="00A73F7E" w:rsidRDefault="00CB6692" w:rsidP="00A73F7E">
            <w:pPr>
              <w:pStyle w:val="Paragrafoelenco"/>
              <w:widowControl w:val="0"/>
              <w:numPr>
                <w:ilvl w:val="0"/>
                <w:numId w:val="6"/>
              </w:numPr>
              <w:spacing w:line="240" w:lineRule="auto"/>
              <w:rPr>
                <w:sz w:val="21"/>
                <w:szCs w:val="21"/>
                <w:highlight w:val="white"/>
                <w:lang w:val="es-MX"/>
              </w:rPr>
            </w:pPr>
            <w:r w:rsidRPr="00A73F7E">
              <w:rPr>
                <w:sz w:val="21"/>
                <w:szCs w:val="21"/>
                <w:highlight w:val="white"/>
                <w:lang w:val="es-MX"/>
              </w:rPr>
              <w:t xml:space="preserve">Oportunidades relacionadas con el clima, incluidas las oportunidades de crecimiento económico sostenible, </w:t>
            </w:r>
          </w:p>
          <w:p w14:paraId="0E9C15EA" w14:textId="4DC109CE" w:rsidR="00CB6692" w:rsidRPr="00A73F7E" w:rsidRDefault="00CB6692" w:rsidP="00A73F7E">
            <w:pPr>
              <w:pStyle w:val="Paragrafoelenco"/>
              <w:widowControl w:val="0"/>
              <w:numPr>
                <w:ilvl w:val="0"/>
                <w:numId w:val="6"/>
              </w:numPr>
              <w:spacing w:line="240" w:lineRule="auto"/>
              <w:rPr>
                <w:sz w:val="21"/>
                <w:szCs w:val="21"/>
                <w:highlight w:val="white"/>
                <w:lang w:val="es-MX"/>
              </w:rPr>
            </w:pPr>
            <w:r w:rsidRPr="00A73F7E">
              <w:rPr>
                <w:sz w:val="21"/>
                <w:szCs w:val="21"/>
                <w:highlight w:val="white"/>
                <w:lang w:val="es-MX"/>
              </w:rPr>
              <w:t>Indicadores clave de rendimiento (KPI) relacionados con el clima.</w:t>
            </w:r>
            <w:r w:rsidR="00A73F7E">
              <w:rPr>
                <w:sz w:val="21"/>
                <w:szCs w:val="21"/>
                <w:highlight w:val="white"/>
                <w:lang w:val="es-MX"/>
              </w:rPr>
              <w:br/>
            </w:r>
          </w:p>
          <w:p w14:paraId="150170A7" w14:textId="01A2041F" w:rsidR="00CB6692" w:rsidRPr="00A73F7E" w:rsidRDefault="00CB6692" w:rsidP="00CB6692">
            <w:pPr>
              <w:widowControl w:val="0"/>
              <w:spacing w:line="240" w:lineRule="auto"/>
              <w:rPr>
                <w:sz w:val="21"/>
                <w:szCs w:val="21"/>
                <w:highlight w:val="white"/>
                <w:lang w:val="es-MX"/>
              </w:rPr>
            </w:pPr>
            <w:r w:rsidRPr="00A73F7E">
              <w:rPr>
                <w:sz w:val="21"/>
                <w:szCs w:val="21"/>
                <w:highlight w:val="white"/>
                <w:lang w:val="es-MX"/>
              </w:rPr>
              <w:t>El TCFD también recomienda que los bancos tengan en cuenta los riesgos del cambio climático en su proceso de toma de decisiones, utilizando modelos de riesgo climático y evaluando los posibles impactos en sus negocios y clientes.</w:t>
            </w:r>
            <w:r w:rsidR="00A73F7E">
              <w:rPr>
                <w:sz w:val="21"/>
                <w:szCs w:val="21"/>
                <w:highlight w:val="white"/>
                <w:lang w:val="es-MX"/>
              </w:rPr>
              <w:br/>
            </w:r>
          </w:p>
          <w:p w14:paraId="0EAD8321" w14:textId="734B6472" w:rsidR="00CB6692" w:rsidRPr="00CB6692" w:rsidRDefault="00CB6692" w:rsidP="00CB6692">
            <w:pPr>
              <w:widowControl w:val="0"/>
              <w:spacing w:line="240" w:lineRule="auto"/>
              <w:rPr>
                <w:sz w:val="32"/>
                <w:szCs w:val="32"/>
                <w:lang w:val="es-MX"/>
              </w:rPr>
            </w:pPr>
            <w:r w:rsidRPr="00A73F7E">
              <w:rPr>
                <w:sz w:val="21"/>
                <w:szCs w:val="21"/>
                <w:highlight w:val="white"/>
                <w:lang w:val="es-MX"/>
              </w:rPr>
              <w:t>Los riesgos de transición al cambio climático en el sector bancario se evalúan examinando cómo gestionan los bancos su exposición a los riesgos del cambio climático y su transición a una economía baja en carbono. Los riesgos de transición pueden incluir interrupciones en las cadenas de suministro, regulaciones más estrictas sobre las emisiones de carbono, cambios en la demanda de los consumidores de productos más sostenibles y cambios en la tecnología.</w:t>
            </w:r>
          </w:p>
        </w:tc>
      </w:tr>
    </w:tbl>
    <w:p w14:paraId="7FAA0125" w14:textId="62F3B898" w:rsidR="00AE12E9" w:rsidRDefault="00A73F7E">
      <w:r>
        <w:rPr>
          <w:noProof/>
        </w:rPr>
        <w:lastRenderedPageBreak/>
        <w:drawing>
          <wp:inline distT="0" distB="0" distL="0" distR="0" wp14:anchorId="3AFD8E30" wp14:editId="689D25AA">
            <wp:extent cx="4699000" cy="2509687"/>
            <wp:effectExtent l="0" t="0" r="6350" b="5080"/>
            <wp:docPr id="2047657936" name="Imagen 1" descr="Riesgos climáticos, oportunidades e impacto financiero. TCF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Riesgos climáticos, oportunidades e impacto financiero. TCFD 2017"/>
                    <pic:cNvPicPr>
                      <a:picLocks noChangeAspect="1"/>
                    </pic:cNvPicPr>
                  </pic:nvPicPr>
                  <pic:blipFill>
                    <a:blip r:embed="rId12"/>
                    <a:stretch>
                      <a:fillRect/>
                    </a:stretch>
                  </pic:blipFill>
                  <pic:spPr>
                    <a:xfrm>
                      <a:off x="0" y="0"/>
                      <a:ext cx="4716569" cy="2519071"/>
                    </a:xfrm>
                    <a:prstGeom prst="rect">
                      <a:avLst/>
                    </a:prstGeom>
                  </pic:spPr>
                </pic:pic>
              </a:graphicData>
            </a:graphic>
          </wp:inline>
        </w:drawing>
      </w:r>
    </w:p>
    <w:tbl>
      <w:tblPr>
        <w:tblStyle w:val="a6"/>
        <w:tblpPr w:leftFromText="141" w:rightFromText="141" w:vertAnchor="text" w:horzAnchor="margin" w:tblpY="177"/>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8"/>
        <w:gridCol w:w="4678"/>
        <w:gridCol w:w="142"/>
      </w:tblGrid>
      <w:tr w:rsidR="00A73F7E" w14:paraId="1F38A82E" w14:textId="77777777" w:rsidTr="00A73F7E">
        <w:trPr>
          <w:gridAfter w:val="1"/>
          <w:wAfter w:w="142" w:type="dxa"/>
          <w:trHeight w:val="2895"/>
        </w:trPr>
        <w:tc>
          <w:tcPr>
            <w:tcW w:w="466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2C1F97" w14:textId="77777777" w:rsidR="00A73F7E" w:rsidRPr="001B24EE" w:rsidRDefault="00A73F7E" w:rsidP="00A73F7E">
            <w:pPr>
              <w:pStyle w:val="Paragrafoelenco"/>
              <w:numPr>
                <w:ilvl w:val="0"/>
                <w:numId w:val="2"/>
              </w:numPr>
              <w:spacing w:line="240" w:lineRule="auto"/>
              <w:rPr>
                <w:sz w:val="32"/>
                <w:szCs w:val="32"/>
                <w:lang w:val="es-CO"/>
              </w:rPr>
            </w:pPr>
            <w:r w:rsidRPr="00A73F7E">
              <w:rPr>
                <w:sz w:val="32"/>
                <w:szCs w:val="32"/>
                <w:lang w:val="es-CO"/>
              </w:rPr>
              <w:t>Herramientas específicas para la financiación de la lucha contra el cambio climático</w:t>
            </w:r>
          </w:p>
          <w:p w14:paraId="6FC49C59" w14:textId="77777777" w:rsidR="00A73F7E" w:rsidRDefault="00A73F7E" w:rsidP="00A73F7E">
            <w:pPr>
              <w:spacing w:line="240" w:lineRule="auto"/>
              <w:rPr>
                <w:sz w:val="21"/>
                <w:szCs w:val="21"/>
                <w:highlight w:val="white"/>
                <w:lang w:val="es-MX"/>
              </w:rPr>
            </w:pPr>
          </w:p>
          <w:p w14:paraId="64AF00E2" w14:textId="77777777" w:rsidR="00A73F7E" w:rsidRDefault="00A73F7E" w:rsidP="00A73F7E">
            <w:pPr>
              <w:spacing w:line="240" w:lineRule="auto"/>
              <w:rPr>
                <w:color w:val="FF0000"/>
                <w:sz w:val="21"/>
                <w:szCs w:val="21"/>
                <w:highlight w:val="white"/>
                <w:lang w:val="es-MX"/>
              </w:rPr>
            </w:pPr>
            <w:r w:rsidRPr="00A73F7E">
              <w:rPr>
                <w:color w:val="FF0000"/>
                <w:sz w:val="21"/>
                <w:szCs w:val="21"/>
                <w:highlight w:val="white"/>
                <w:lang w:val="es-MX"/>
              </w:rPr>
              <w:t xml:space="preserve"> </w:t>
            </w:r>
          </w:p>
          <w:p w14:paraId="28C1D65D" w14:textId="77777777" w:rsidR="00A73F7E" w:rsidRPr="00A73F7E" w:rsidRDefault="00A73F7E" w:rsidP="00A73F7E">
            <w:pPr>
              <w:spacing w:line="240" w:lineRule="auto"/>
              <w:rPr>
                <w:sz w:val="21"/>
                <w:szCs w:val="21"/>
                <w:highlight w:val="white"/>
                <w:lang w:val="es-MX"/>
              </w:rPr>
            </w:pPr>
            <w:r w:rsidRPr="00A73F7E">
              <w:rPr>
                <w:sz w:val="21"/>
                <w:szCs w:val="21"/>
                <w:lang w:val="es-MX"/>
              </w:rPr>
              <w:t>En un contexto bancario, la evaluación del riesgo climático para la financiación agrícola es crucial para garantizar la viabilidad de las inversiones y permitir un crecimiento sostenible. La previsión y evaluación de los riesgos climáticos, en particular el estrés hídrico y térmico, puede realizarse mediante una combinación de herramientas y fuentes de datos. Algunas de las mejores herramientas son:</w:t>
            </w:r>
          </w:p>
          <w:p w14:paraId="2F4975B8" w14:textId="77777777" w:rsidR="00A73F7E" w:rsidRDefault="00A73F7E" w:rsidP="00A73F7E">
            <w:pPr>
              <w:spacing w:line="240" w:lineRule="auto"/>
              <w:rPr>
                <w:color w:val="FF0000"/>
                <w:sz w:val="21"/>
                <w:szCs w:val="21"/>
                <w:highlight w:val="white"/>
                <w:lang w:val="es-MX"/>
              </w:rPr>
            </w:pPr>
          </w:p>
          <w:p w14:paraId="3035D5B5" w14:textId="77777777" w:rsidR="00A73F7E" w:rsidRPr="00A73F7E" w:rsidRDefault="00A73F7E" w:rsidP="00A73F7E">
            <w:pPr>
              <w:numPr>
                <w:ilvl w:val="0"/>
                <w:numId w:val="8"/>
              </w:numPr>
              <w:spacing w:line="240" w:lineRule="auto"/>
              <w:rPr>
                <w:color w:val="FF0000"/>
                <w:sz w:val="21"/>
                <w:szCs w:val="21"/>
                <w:highlight w:val="white"/>
                <w:lang w:val="es-MX"/>
              </w:rPr>
            </w:pPr>
            <w:r w:rsidRPr="00A73F7E">
              <w:rPr>
                <w:b/>
                <w:bCs/>
                <w:sz w:val="21"/>
                <w:szCs w:val="21"/>
                <w:lang w:val="es-MX"/>
              </w:rPr>
              <w:t>Modelos y proyecciones climáticas</w:t>
            </w:r>
            <w:r w:rsidRPr="00A73F7E">
              <w:rPr>
                <w:sz w:val="21"/>
                <w:szCs w:val="21"/>
                <w:lang w:val="es-MX"/>
              </w:rPr>
              <w:t>: Los modelos climáticos mundiales y regionales proporcionan información valiosa sobre futuros escenarios climáticos, incluidos modelos de temperatura y precipitaciones. El Grupo Intergubernamental de Expertos sobre el Cambio Climático (</w:t>
            </w:r>
            <w:proofErr w:type="gramStart"/>
            <w:r w:rsidRPr="00A73F7E">
              <w:rPr>
                <w:sz w:val="21"/>
                <w:szCs w:val="21"/>
                <w:lang w:val="es-MX"/>
              </w:rPr>
              <w:t>IPCC  )</w:t>
            </w:r>
            <w:proofErr w:type="gramEnd"/>
            <w:r w:rsidRPr="00A73F7E">
              <w:rPr>
                <w:sz w:val="21"/>
                <w:szCs w:val="21"/>
                <w:lang w:val="es-MX"/>
              </w:rPr>
              <w:t xml:space="preserve"> publica periódicamente proyecciones climáticas que pueden utilizarse para evaluar las posibles repercusiones en la agricultura.</w:t>
            </w:r>
          </w:p>
          <w:p w14:paraId="1C544DA2" w14:textId="77777777" w:rsidR="00A73F7E" w:rsidRDefault="00A73F7E" w:rsidP="00A73F7E">
            <w:pPr>
              <w:spacing w:line="240" w:lineRule="auto"/>
              <w:rPr>
                <w:color w:val="FF0000"/>
                <w:sz w:val="21"/>
                <w:szCs w:val="21"/>
                <w:highlight w:val="white"/>
                <w:lang w:val="es-MX"/>
              </w:rPr>
            </w:pPr>
          </w:p>
          <w:p w14:paraId="69330143" w14:textId="77777777" w:rsidR="00A73F7E" w:rsidRPr="00305049" w:rsidRDefault="00A73F7E" w:rsidP="00A73F7E">
            <w:pPr>
              <w:widowControl w:val="0"/>
              <w:spacing w:line="240" w:lineRule="auto"/>
              <w:rPr>
                <w:sz w:val="21"/>
                <w:szCs w:val="21"/>
                <w:highlight w:val="white"/>
                <w:lang w:val="es-MX"/>
              </w:rPr>
            </w:pPr>
          </w:p>
        </w:tc>
        <w:tc>
          <w:tcPr>
            <w:tcW w:w="467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C45722" w14:textId="77777777" w:rsidR="00A73F7E" w:rsidRPr="00A73F7E" w:rsidRDefault="00A73F7E" w:rsidP="00A73F7E">
            <w:pPr>
              <w:numPr>
                <w:ilvl w:val="0"/>
                <w:numId w:val="8"/>
              </w:numPr>
              <w:spacing w:line="240" w:lineRule="auto"/>
              <w:rPr>
                <w:sz w:val="21"/>
                <w:szCs w:val="21"/>
                <w:lang w:val="es-MX"/>
              </w:rPr>
            </w:pPr>
            <w:r w:rsidRPr="00A73F7E">
              <w:rPr>
                <w:b/>
                <w:bCs/>
                <w:sz w:val="21"/>
                <w:szCs w:val="21"/>
                <w:lang w:val="es-MX"/>
              </w:rPr>
              <w:t>Datos geoespaciales</w:t>
            </w:r>
            <w:r w:rsidRPr="00A73F7E">
              <w:rPr>
                <w:sz w:val="21"/>
                <w:szCs w:val="21"/>
                <w:lang w:val="es-MX"/>
              </w:rPr>
              <w:t>: Las imágenes de satélite pueden ayudar a vigilar y predecir el estrés hídrico y térmico en las zonas agrícolas. Herramientas como el Índice de Vegetación de Diferencia Normalizada (NDVI</w:t>
            </w:r>
            <w:r w:rsidRPr="00A73F7E">
              <w:rPr>
                <w:sz w:val="21"/>
                <w:szCs w:val="21"/>
                <w:vertAlign w:val="superscript"/>
                <w:lang w:val="fr-FR"/>
              </w:rPr>
              <w:footnoteReference w:id="1"/>
            </w:r>
            <w:r w:rsidRPr="00A73F7E">
              <w:rPr>
                <w:sz w:val="21"/>
                <w:szCs w:val="21"/>
                <w:lang w:val="es-MX"/>
              </w:rPr>
              <w:t xml:space="preserve"> ) y el Índice de Estrés Evaporativo (ESI</w:t>
            </w:r>
            <w:r w:rsidRPr="00A73F7E">
              <w:rPr>
                <w:sz w:val="21"/>
                <w:szCs w:val="21"/>
                <w:vertAlign w:val="superscript"/>
                <w:lang w:val="fr-FR"/>
              </w:rPr>
              <w:footnoteReference w:id="2"/>
            </w:r>
            <w:r w:rsidRPr="00A73F7E">
              <w:rPr>
                <w:sz w:val="21"/>
                <w:szCs w:val="21"/>
                <w:lang w:val="es-MX"/>
              </w:rPr>
              <w:t xml:space="preserve"> ) pueden proporcionar información casi en tiempo real sobre la salud de los cultivos y el estrés hídrico.</w:t>
            </w:r>
            <w:r>
              <w:rPr>
                <w:sz w:val="21"/>
                <w:szCs w:val="21"/>
                <w:lang w:val="es-MX"/>
              </w:rPr>
              <w:br/>
            </w:r>
          </w:p>
          <w:p w14:paraId="5B4F8D7D" w14:textId="77777777" w:rsidR="00A73F7E" w:rsidRPr="00A73F7E" w:rsidRDefault="00A73F7E" w:rsidP="00A73F7E">
            <w:pPr>
              <w:numPr>
                <w:ilvl w:val="0"/>
                <w:numId w:val="8"/>
              </w:numPr>
              <w:spacing w:line="240" w:lineRule="auto"/>
              <w:rPr>
                <w:sz w:val="21"/>
                <w:szCs w:val="21"/>
                <w:lang w:val="es-MX"/>
              </w:rPr>
            </w:pPr>
            <w:r w:rsidRPr="00A73F7E">
              <w:rPr>
                <w:b/>
                <w:bCs/>
                <w:sz w:val="21"/>
                <w:szCs w:val="21"/>
                <w:lang w:val="es-MX"/>
              </w:rPr>
              <w:t>Índices climáticos</w:t>
            </w:r>
            <w:r w:rsidRPr="00A73F7E">
              <w:rPr>
                <w:sz w:val="21"/>
                <w:szCs w:val="21"/>
                <w:lang w:val="es-MX"/>
              </w:rPr>
              <w:t>: estos índices son medidas estadísticas que evalúan las condiciones climáticas medias y extremas de una región determinada. Por ejemplo, el Índice de Estrés Térmico (THI</w:t>
            </w:r>
            <w:r w:rsidRPr="00A73F7E">
              <w:rPr>
                <w:sz w:val="21"/>
                <w:szCs w:val="21"/>
                <w:vertAlign w:val="superscript"/>
                <w:lang w:val="fr-FR"/>
              </w:rPr>
              <w:footnoteReference w:id="3"/>
            </w:r>
            <w:r w:rsidRPr="00A73F7E">
              <w:rPr>
                <w:sz w:val="21"/>
                <w:szCs w:val="21"/>
                <w:lang w:val="es-MX"/>
              </w:rPr>
              <w:t xml:space="preserve"> ) se utiliza para medir el estrés térmico en animales de granja. Los índices climáticos pueden obtenerse de centros de investigación climática, como el Centro Europeo de Previsiones Meteorológicas a Medio Plazo (ECMWF</w:t>
            </w:r>
            <w:r w:rsidRPr="00A73F7E">
              <w:rPr>
                <w:sz w:val="21"/>
                <w:szCs w:val="21"/>
                <w:vertAlign w:val="superscript"/>
                <w:lang w:val="fr-FR"/>
              </w:rPr>
              <w:footnoteReference w:id="4"/>
            </w:r>
            <w:r w:rsidRPr="00A73F7E">
              <w:rPr>
                <w:sz w:val="21"/>
                <w:szCs w:val="21"/>
                <w:lang w:val="es-MX"/>
              </w:rPr>
              <w:t xml:space="preserve"> ). Utilizando estos índices, los bancos (o las compañías de seguros) pueden comprender mejor los riesgos potenciales y las pérdidas asociadas a fenómenos meteorológicos específicos.</w:t>
            </w:r>
          </w:p>
          <w:p w14:paraId="15F3E1F5" w14:textId="77777777" w:rsidR="00A73F7E" w:rsidRDefault="00A73F7E" w:rsidP="00A73F7E">
            <w:pPr>
              <w:spacing w:line="240" w:lineRule="auto"/>
              <w:rPr>
                <w:sz w:val="21"/>
                <w:szCs w:val="21"/>
                <w:lang w:val="es-MX"/>
              </w:rPr>
            </w:pPr>
          </w:p>
          <w:p w14:paraId="48303CE9" w14:textId="77777777" w:rsidR="00A73F7E" w:rsidRDefault="00A73F7E" w:rsidP="00A73F7E">
            <w:pPr>
              <w:spacing w:line="240" w:lineRule="auto"/>
              <w:rPr>
                <w:sz w:val="21"/>
                <w:szCs w:val="21"/>
                <w:lang w:val="es-MX"/>
              </w:rPr>
            </w:pPr>
          </w:p>
          <w:p w14:paraId="7D9D865D" w14:textId="77777777" w:rsidR="00A73F7E" w:rsidRPr="00A73F7E" w:rsidRDefault="00A73F7E" w:rsidP="00A73F7E">
            <w:pPr>
              <w:widowControl w:val="0"/>
              <w:spacing w:line="240" w:lineRule="auto"/>
              <w:rPr>
                <w:sz w:val="21"/>
                <w:szCs w:val="21"/>
                <w:lang w:val="es-MX"/>
              </w:rPr>
            </w:pPr>
          </w:p>
        </w:tc>
      </w:tr>
      <w:tr w:rsidR="00A73F7E" w14:paraId="14955DDE" w14:textId="77777777" w:rsidTr="00A73F7E">
        <w:trPr>
          <w:trHeight w:val="2895"/>
        </w:trPr>
        <w:tc>
          <w:tcPr>
            <w:tcW w:w="466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98B311" w14:textId="77777777" w:rsidR="00A73F7E" w:rsidRDefault="00A73F7E" w:rsidP="00A73F7E">
            <w:pPr>
              <w:widowControl w:val="0"/>
              <w:spacing w:line="240" w:lineRule="auto"/>
              <w:rPr>
                <w:sz w:val="21"/>
                <w:szCs w:val="21"/>
                <w:highlight w:val="white"/>
                <w:lang w:val="es-MX"/>
              </w:rPr>
            </w:pPr>
          </w:p>
          <w:p w14:paraId="0C1A8286" w14:textId="77777777" w:rsidR="00A73F7E" w:rsidRDefault="00A73F7E" w:rsidP="00A73F7E">
            <w:pPr>
              <w:widowControl w:val="0"/>
              <w:spacing w:line="240" w:lineRule="auto"/>
              <w:rPr>
                <w:sz w:val="21"/>
                <w:szCs w:val="21"/>
                <w:highlight w:val="white"/>
                <w:lang w:val="es-MX"/>
              </w:rPr>
            </w:pPr>
          </w:p>
          <w:p w14:paraId="700DFF01" w14:textId="77777777" w:rsidR="00A73F7E" w:rsidRDefault="00A73F7E" w:rsidP="00A73F7E">
            <w:pPr>
              <w:widowControl w:val="0"/>
              <w:spacing w:line="240" w:lineRule="auto"/>
              <w:rPr>
                <w:sz w:val="21"/>
                <w:szCs w:val="21"/>
                <w:highlight w:val="white"/>
                <w:lang w:val="es-MX"/>
              </w:rPr>
            </w:pPr>
          </w:p>
          <w:p w14:paraId="3D5EABE0" w14:textId="7E038D7D" w:rsidR="00A73F7E" w:rsidRPr="00A73F7E" w:rsidRDefault="00A73F7E" w:rsidP="00A73F7E">
            <w:pPr>
              <w:numPr>
                <w:ilvl w:val="0"/>
                <w:numId w:val="8"/>
              </w:numPr>
              <w:spacing w:line="240" w:lineRule="auto"/>
              <w:rPr>
                <w:sz w:val="21"/>
                <w:szCs w:val="21"/>
                <w:lang w:val="es-MX"/>
              </w:rPr>
            </w:pPr>
            <w:r w:rsidRPr="00A73F7E">
              <w:rPr>
                <w:b/>
                <w:bCs/>
                <w:sz w:val="21"/>
                <w:szCs w:val="21"/>
                <w:lang w:val="es-MX"/>
              </w:rPr>
              <w:t>Modelos de simulación de cultivos y cosechas</w:t>
            </w:r>
            <w:r w:rsidRPr="00A73F7E">
              <w:rPr>
                <w:sz w:val="21"/>
                <w:szCs w:val="21"/>
                <w:lang w:val="es-MX"/>
              </w:rPr>
              <w:t xml:space="preserve"> que pueden ayudar a estimar el impacto del estrés hídrico y térmico en el rendimiento de los cultivos. Estos modelos utilizan datos meteorológicos, del suelo y de los cultivos para simular su crecimiento y desarrollo, lo que permite a los bancos tomar decisiones de financiación más informadas. Algunos de estos modelos incorporan resultados económicos que ayudarán en la decisión de financiación (recomendaciones de financiar o no las inversiones analizadas).</w:t>
            </w:r>
          </w:p>
          <w:p w14:paraId="73F47E99" w14:textId="6E5B7C43" w:rsidR="00A73F7E" w:rsidRPr="00A73F7E" w:rsidRDefault="00A73F7E" w:rsidP="00A73F7E">
            <w:pPr>
              <w:numPr>
                <w:ilvl w:val="0"/>
                <w:numId w:val="8"/>
              </w:numPr>
              <w:spacing w:line="240" w:lineRule="auto"/>
              <w:rPr>
                <w:sz w:val="21"/>
                <w:szCs w:val="21"/>
                <w:lang w:val="es-MX"/>
              </w:rPr>
            </w:pPr>
            <w:r w:rsidRPr="00A73F7E">
              <w:rPr>
                <w:b/>
                <w:bCs/>
                <w:sz w:val="21"/>
                <w:szCs w:val="21"/>
                <w:lang w:val="es-MX"/>
              </w:rPr>
              <w:t>Sistemas de vigilancia de sequías:</w:t>
            </w:r>
            <w:r w:rsidRPr="00A73F7E">
              <w:rPr>
                <w:sz w:val="21"/>
                <w:szCs w:val="21"/>
                <w:lang w:val="es-MX"/>
              </w:rPr>
              <w:t xml:space="preserve"> Herramientas como el Sistema de Vigilancia y Predicción de Sequías de EE.UU. (</w:t>
            </w:r>
            <w:proofErr w:type="spellStart"/>
            <w:proofErr w:type="gramStart"/>
            <w:r w:rsidRPr="00A73F7E">
              <w:rPr>
                <w:sz w:val="21"/>
                <w:szCs w:val="21"/>
                <w:lang w:val="es-MX"/>
              </w:rPr>
              <w:t>GIDMaPS</w:t>
            </w:r>
            <w:proofErr w:type="spellEnd"/>
            <w:r w:rsidRPr="00A73F7E">
              <w:rPr>
                <w:sz w:val="21"/>
                <w:szCs w:val="21"/>
                <w:lang w:val="es-MX"/>
              </w:rPr>
              <w:t xml:space="preserve">  )</w:t>
            </w:r>
            <w:proofErr w:type="gramEnd"/>
            <w:r w:rsidRPr="00A73F7E">
              <w:rPr>
                <w:sz w:val="21"/>
                <w:szCs w:val="21"/>
                <w:lang w:val="es-MX"/>
              </w:rPr>
              <w:t xml:space="preserve"> pueden proporcionar información valiosa sobre la ocurrencia y gravedad de las sequías. Los bancos pueden utilizar estas herramientas para evaluar los riesgos de sequía a los que se enfrentan los prestatarios agrícolas y tomar decisiones de préstamo más informadas.</w:t>
            </w:r>
          </w:p>
          <w:p w14:paraId="0745949D" w14:textId="77777777" w:rsidR="00A73F7E" w:rsidRPr="001B24EE" w:rsidRDefault="00A73F7E" w:rsidP="00A73F7E">
            <w:pPr>
              <w:numPr>
                <w:ilvl w:val="0"/>
                <w:numId w:val="8"/>
              </w:numPr>
              <w:spacing w:line="240" w:lineRule="auto"/>
              <w:rPr>
                <w:b/>
                <w:bCs/>
                <w:sz w:val="21"/>
                <w:szCs w:val="21"/>
                <w:highlight w:val="white"/>
                <w:lang w:val="es-MX"/>
              </w:rPr>
            </w:pPr>
            <w:r w:rsidRPr="00A73F7E">
              <w:rPr>
                <w:b/>
                <w:bCs/>
                <w:sz w:val="21"/>
                <w:szCs w:val="21"/>
                <w:lang w:val="es-MX"/>
              </w:rPr>
              <w:t>Análisis de datos y aprendizaje automático:</w:t>
            </w:r>
            <w:r w:rsidRPr="00A73F7E">
              <w:rPr>
                <w:sz w:val="21"/>
                <w:szCs w:val="21"/>
                <w:lang w:val="es-MX"/>
              </w:rPr>
              <w:t xml:space="preserve"> Pueden utilizarse técnicas avanzadas de análisis de datos y aprendizaje automático para combinar y analizar grandes conjuntos de datos, como proyecciones climáticas, datos de teledetección y datos históricos de resultados agrícolas. Estas herramientas pueden ayudar a los bancos a identificar patrones y relaciones entre las variables climáticas y los resultados agrícolas, permitiendo predicciones más precisas de los riesgos climáticos.</w:t>
            </w:r>
          </w:p>
          <w:p w14:paraId="56D38462" w14:textId="77777777" w:rsidR="001B24EE" w:rsidRDefault="001B24EE" w:rsidP="001B24EE">
            <w:pPr>
              <w:spacing w:line="240" w:lineRule="auto"/>
              <w:rPr>
                <w:b/>
                <w:bCs/>
                <w:sz w:val="21"/>
                <w:szCs w:val="21"/>
                <w:highlight w:val="white"/>
                <w:lang w:val="es-MX"/>
              </w:rPr>
            </w:pPr>
          </w:p>
          <w:p w14:paraId="5C489AB8" w14:textId="77777777" w:rsidR="001B24EE" w:rsidRDefault="001B24EE" w:rsidP="001B24EE">
            <w:pPr>
              <w:spacing w:line="240" w:lineRule="auto"/>
              <w:rPr>
                <w:b/>
                <w:bCs/>
                <w:sz w:val="21"/>
                <w:szCs w:val="21"/>
                <w:highlight w:val="white"/>
                <w:lang w:val="es-MX"/>
              </w:rPr>
            </w:pPr>
          </w:p>
          <w:p w14:paraId="70994E53" w14:textId="77777777" w:rsidR="001B24EE" w:rsidRDefault="001B24EE" w:rsidP="001B24EE">
            <w:pPr>
              <w:spacing w:line="240" w:lineRule="auto"/>
              <w:rPr>
                <w:b/>
                <w:bCs/>
                <w:sz w:val="21"/>
                <w:szCs w:val="21"/>
                <w:highlight w:val="white"/>
                <w:lang w:val="es-MX"/>
              </w:rPr>
            </w:pPr>
          </w:p>
          <w:p w14:paraId="02D563D8" w14:textId="77777777" w:rsidR="001B24EE" w:rsidRDefault="001B24EE" w:rsidP="001B24EE">
            <w:pPr>
              <w:spacing w:line="240" w:lineRule="auto"/>
              <w:rPr>
                <w:b/>
                <w:bCs/>
                <w:sz w:val="21"/>
                <w:szCs w:val="21"/>
                <w:highlight w:val="white"/>
                <w:lang w:val="es-MX"/>
              </w:rPr>
            </w:pPr>
          </w:p>
          <w:p w14:paraId="4BE31BA6" w14:textId="77777777" w:rsidR="001B24EE" w:rsidRDefault="001B24EE" w:rsidP="001B24EE">
            <w:pPr>
              <w:spacing w:line="240" w:lineRule="auto"/>
              <w:rPr>
                <w:b/>
                <w:bCs/>
                <w:sz w:val="21"/>
                <w:szCs w:val="21"/>
                <w:highlight w:val="white"/>
                <w:lang w:val="es-MX"/>
              </w:rPr>
            </w:pPr>
          </w:p>
          <w:p w14:paraId="767FA3AA" w14:textId="77777777" w:rsidR="001B24EE" w:rsidRDefault="001B24EE" w:rsidP="001B24EE">
            <w:pPr>
              <w:spacing w:line="240" w:lineRule="auto"/>
              <w:rPr>
                <w:b/>
                <w:bCs/>
                <w:sz w:val="21"/>
                <w:szCs w:val="21"/>
                <w:highlight w:val="white"/>
                <w:lang w:val="es-MX"/>
              </w:rPr>
            </w:pPr>
          </w:p>
          <w:p w14:paraId="0C880EF8" w14:textId="77777777" w:rsidR="001B24EE" w:rsidRDefault="001B24EE" w:rsidP="001B24EE">
            <w:pPr>
              <w:spacing w:line="240" w:lineRule="auto"/>
              <w:rPr>
                <w:b/>
                <w:bCs/>
                <w:sz w:val="21"/>
                <w:szCs w:val="21"/>
                <w:highlight w:val="white"/>
                <w:lang w:val="es-MX"/>
              </w:rPr>
            </w:pPr>
          </w:p>
          <w:p w14:paraId="1DBB5F46" w14:textId="77777777" w:rsidR="001B24EE" w:rsidRDefault="001B24EE" w:rsidP="001B24EE">
            <w:pPr>
              <w:spacing w:line="240" w:lineRule="auto"/>
              <w:rPr>
                <w:b/>
                <w:bCs/>
                <w:sz w:val="21"/>
                <w:szCs w:val="21"/>
                <w:highlight w:val="white"/>
                <w:lang w:val="es-MX"/>
              </w:rPr>
            </w:pPr>
          </w:p>
          <w:p w14:paraId="757A94BB" w14:textId="77777777" w:rsidR="001B24EE" w:rsidRDefault="001B24EE" w:rsidP="001B24EE">
            <w:pPr>
              <w:spacing w:line="240" w:lineRule="auto"/>
              <w:rPr>
                <w:b/>
                <w:bCs/>
                <w:sz w:val="21"/>
                <w:szCs w:val="21"/>
                <w:highlight w:val="white"/>
                <w:lang w:val="es-MX"/>
              </w:rPr>
            </w:pPr>
          </w:p>
          <w:p w14:paraId="35F56E31" w14:textId="77777777" w:rsidR="001B24EE" w:rsidRDefault="001B24EE" w:rsidP="001B24EE">
            <w:pPr>
              <w:spacing w:line="240" w:lineRule="auto"/>
              <w:rPr>
                <w:b/>
                <w:bCs/>
                <w:sz w:val="21"/>
                <w:szCs w:val="21"/>
                <w:highlight w:val="white"/>
                <w:lang w:val="es-MX"/>
              </w:rPr>
            </w:pPr>
          </w:p>
          <w:p w14:paraId="13290A90" w14:textId="77777777" w:rsidR="001B24EE" w:rsidRDefault="001B24EE" w:rsidP="001B24EE">
            <w:pPr>
              <w:spacing w:line="240" w:lineRule="auto"/>
              <w:rPr>
                <w:b/>
                <w:bCs/>
                <w:sz w:val="21"/>
                <w:szCs w:val="21"/>
                <w:highlight w:val="white"/>
                <w:lang w:val="es-MX"/>
              </w:rPr>
            </w:pPr>
          </w:p>
          <w:p w14:paraId="2886F3D5" w14:textId="77777777" w:rsidR="001B24EE" w:rsidRPr="001B24EE" w:rsidRDefault="001B24EE" w:rsidP="001B24EE">
            <w:pPr>
              <w:rPr>
                <w:lang w:val="es-MX"/>
              </w:rPr>
            </w:pPr>
            <w:r w:rsidRPr="001B24EE">
              <w:rPr>
                <w:lang w:val="es-MX"/>
              </w:rPr>
              <w:t>Aunque estas herramientas pueden proporcionar información valiosa sobre el impacto potencial de los riesgos relacionados con el clima en las carteras de préstamos y ayudar a los bancos a tomar decisiones de financiación informadas, los bancos pueden enfrentarse a algunos retos a la hora de utilizar estas herramientas:</w:t>
            </w:r>
          </w:p>
          <w:p w14:paraId="5AEDABD3" w14:textId="77777777" w:rsidR="001B24EE" w:rsidRDefault="001B24EE" w:rsidP="001B24EE">
            <w:pPr>
              <w:spacing w:line="240" w:lineRule="auto"/>
              <w:rPr>
                <w:b/>
                <w:bCs/>
                <w:sz w:val="21"/>
                <w:szCs w:val="21"/>
                <w:highlight w:val="white"/>
                <w:lang w:val="es-MX"/>
              </w:rPr>
            </w:pPr>
          </w:p>
          <w:p w14:paraId="40EFC02B" w14:textId="20AAB086" w:rsidR="001B24EE" w:rsidRPr="001B24EE" w:rsidRDefault="001B24EE" w:rsidP="001B24EE">
            <w:pPr>
              <w:pStyle w:val="Paragrafoelenco"/>
              <w:widowControl w:val="0"/>
              <w:numPr>
                <w:ilvl w:val="0"/>
                <w:numId w:val="13"/>
              </w:numPr>
              <w:spacing w:line="240" w:lineRule="auto"/>
              <w:rPr>
                <w:sz w:val="21"/>
                <w:szCs w:val="21"/>
                <w:lang w:val="es-MX"/>
              </w:rPr>
            </w:pPr>
            <w:r w:rsidRPr="001B24EE">
              <w:rPr>
                <w:b/>
                <w:bCs/>
                <w:sz w:val="21"/>
                <w:szCs w:val="21"/>
                <w:lang w:val="es-MX"/>
              </w:rPr>
              <w:t>Calidad de los datos:</w:t>
            </w:r>
            <w:r w:rsidRPr="001B24EE">
              <w:rPr>
                <w:sz w:val="21"/>
                <w:szCs w:val="21"/>
                <w:lang w:val="es-MX"/>
              </w:rPr>
              <w:t xml:space="preserve"> La exactitud e integridad de los datos utilizados en estas herramientas puede afectar a la fiabilidad del análisis. Los bancos pueden tener que invertir en la recopilación, limpieza y validación de datos para garantizar la calidad de los datos utilizados en estas herramientas.</w:t>
            </w:r>
          </w:p>
          <w:p w14:paraId="4A393B44" w14:textId="77777777" w:rsidR="001B24EE" w:rsidRPr="001B24EE" w:rsidRDefault="001B24EE" w:rsidP="001B24EE">
            <w:pPr>
              <w:widowControl w:val="0"/>
              <w:spacing w:line="240" w:lineRule="auto"/>
              <w:rPr>
                <w:sz w:val="21"/>
                <w:szCs w:val="21"/>
                <w:lang w:val="es-MX"/>
              </w:rPr>
            </w:pPr>
          </w:p>
          <w:p w14:paraId="48AC0744" w14:textId="6D858669" w:rsidR="001B24EE" w:rsidRPr="001B24EE" w:rsidRDefault="001B24EE" w:rsidP="001B24EE">
            <w:pPr>
              <w:pStyle w:val="Paragrafoelenco"/>
              <w:widowControl w:val="0"/>
              <w:numPr>
                <w:ilvl w:val="0"/>
                <w:numId w:val="13"/>
              </w:numPr>
              <w:spacing w:line="240" w:lineRule="auto"/>
              <w:rPr>
                <w:sz w:val="21"/>
                <w:szCs w:val="21"/>
                <w:lang w:val="es-MX"/>
              </w:rPr>
            </w:pPr>
            <w:r w:rsidRPr="001B24EE">
              <w:rPr>
                <w:b/>
                <w:bCs/>
                <w:sz w:val="21"/>
                <w:szCs w:val="21"/>
                <w:lang w:val="es-MX"/>
              </w:rPr>
              <w:t>Conocimientos técnicos:</w:t>
            </w:r>
            <w:r w:rsidRPr="001B24EE">
              <w:rPr>
                <w:sz w:val="21"/>
                <w:szCs w:val="21"/>
                <w:lang w:val="es-MX"/>
              </w:rPr>
              <w:t xml:space="preserve"> Algunas de estas herramientas requieren conocimientos técnicos especializados para su manejo e interpretación de los resultados. Es posible que los bancos tengan que invertir en formación o contratar a expertos con los conocimientos necesarios para utilizar estas herramientas con eficacia.</w:t>
            </w:r>
          </w:p>
          <w:p w14:paraId="3BD340F7" w14:textId="77777777" w:rsidR="001B24EE" w:rsidRPr="001B24EE" w:rsidRDefault="001B24EE" w:rsidP="001B24EE">
            <w:pPr>
              <w:widowControl w:val="0"/>
              <w:spacing w:line="240" w:lineRule="auto"/>
              <w:rPr>
                <w:sz w:val="21"/>
                <w:szCs w:val="21"/>
                <w:lang w:val="es-MX"/>
              </w:rPr>
            </w:pPr>
          </w:p>
          <w:p w14:paraId="0A9F86C9" w14:textId="55D27A72" w:rsidR="001B24EE" w:rsidRPr="001B24EE" w:rsidRDefault="001B24EE" w:rsidP="001B24EE">
            <w:pPr>
              <w:pStyle w:val="Paragrafoelenco"/>
              <w:widowControl w:val="0"/>
              <w:numPr>
                <w:ilvl w:val="0"/>
                <w:numId w:val="13"/>
              </w:numPr>
              <w:spacing w:line="240" w:lineRule="auto"/>
              <w:rPr>
                <w:sz w:val="21"/>
                <w:szCs w:val="21"/>
                <w:lang w:val="es-MX"/>
              </w:rPr>
            </w:pPr>
            <w:r w:rsidRPr="001B24EE">
              <w:rPr>
                <w:b/>
                <w:bCs/>
                <w:sz w:val="21"/>
                <w:szCs w:val="21"/>
                <w:lang w:val="es-MX"/>
              </w:rPr>
              <w:t>Coste</w:t>
            </w:r>
            <w:r w:rsidRPr="001B24EE">
              <w:rPr>
                <w:sz w:val="21"/>
                <w:szCs w:val="21"/>
                <w:lang w:val="es-MX"/>
              </w:rPr>
              <w:t>: El coste de utilizar estas herramientas puede ser significativo, especialmente para los bancos más pequeños. Los bancos pueden tener que sopesar el coste de utilizar estas herramientas frente a los beneficios potenciales que ofrecen.</w:t>
            </w:r>
          </w:p>
          <w:p w14:paraId="536C7DEC" w14:textId="77777777" w:rsidR="001B24EE" w:rsidRPr="001B24EE" w:rsidRDefault="001B24EE" w:rsidP="001B24EE">
            <w:pPr>
              <w:widowControl w:val="0"/>
              <w:spacing w:line="240" w:lineRule="auto"/>
              <w:rPr>
                <w:sz w:val="21"/>
                <w:szCs w:val="21"/>
                <w:lang w:val="es-MX"/>
              </w:rPr>
            </w:pPr>
          </w:p>
          <w:p w14:paraId="250280A6" w14:textId="2726385D" w:rsidR="001B24EE" w:rsidRPr="001B24EE" w:rsidRDefault="001B24EE" w:rsidP="001B24EE">
            <w:pPr>
              <w:pStyle w:val="Paragrafoelenco"/>
              <w:widowControl w:val="0"/>
              <w:numPr>
                <w:ilvl w:val="0"/>
                <w:numId w:val="13"/>
              </w:numPr>
              <w:spacing w:line="240" w:lineRule="auto"/>
              <w:rPr>
                <w:sz w:val="21"/>
                <w:szCs w:val="21"/>
                <w:lang w:val="es-MX"/>
              </w:rPr>
            </w:pPr>
            <w:r w:rsidRPr="001B24EE">
              <w:rPr>
                <w:b/>
                <w:bCs/>
                <w:sz w:val="21"/>
                <w:szCs w:val="21"/>
                <w:lang w:val="es-MX"/>
              </w:rPr>
              <w:t>Requisitos normativos</w:t>
            </w:r>
            <w:r w:rsidRPr="001B24EE">
              <w:rPr>
                <w:sz w:val="21"/>
                <w:szCs w:val="21"/>
                <w:lang w:val="es-MX"/>
              </w:rPr>
              <w:t>: Los requisitos normativos de información y divulgación de los riesgos climáticos están evolucionando, y los bancos deben mantenerse al día de los últimos requisitos para garantizar su cumplimiento.</w:t>
            </w:r>
          </w:p>
          <w:p w14:paraId="340940F6" w14:textId="77777777" w:rsidR="001B24EE" w:rsidRPr="001B24EE" w:rsidRDefault="001B24EE" w:rsidP="001B24EE">
            <w:pPr>
              <w:widowControl w:val="0"/>
              <w:spacing w:line="240" w:lineRule="auto"/>
              <w:rPr>
                <w:sz w:val="21"/>
                <w:szCs w:val="21"/>
                <w:lang w:val="es-MX"/>
              </w:rPr>
            </w:pPr>
          </w:p>
          <w:p w14:paraId="00AFA623" w14:textId="77777777" w:rsidR="001B24EE" w:rsidRPr="001B24EE" w:rsidRDefault="001B24EE" w:rsidP="001B24EE">
            <w:pPr>
              <w:pStyle w:val="Paragrafoelenco"/>
              <w:widowControl w:val="0"/>
              <w:numPr>
                <w:ilvl w:val="0"/>
                <w:numId w:val="13"/>
              </w:numPr>
              <w:spacing w:line="240" w:lineRule="auto"/>
              <w:rPr>
                <w:b/>
                <w:bCs/>
                <w:sz w:val="21"/>
                <w:szCs w:val="21"/>
                <w:highlight w:val="white"/>
                <w:lang w:val="es-MX"/>
              </w:rPr>
            </w:pPr>
            <w:r w:rsidRPr="001B24EE">
              <w:rPr>
                <w:b/>
                <w:bCs/>
                <w:sz w:val="21"/>
                <w:szCs w:val="21"/>
                <w:lang w:val="es-MX"/>
              </w:rPr>
              <w:t>Falta de estandarización</w:t>
            </w:r>
            <w:r w:rsidRPr="001B24EE">
              <w:rPr>
                <w:sz w:val="21"/>
                <w:szCs w:val="21"/>
                <w:lang w:val="es-MX"/>
              </w:rPr>
              <w:t>: Actualmente no existe un enfoque estándar para el uso de estas herramientas, lo que puede dar lugar a incoherencias en el análisis y dificultar la comparación de resultados entre bancos o sectores.</w:t>
            </w:r>
          </w:p>
          <w:p w14:paraId="6D852D15" w14:textId="77777777" w:rsidR="001B24EE" w:rsidRPr="001B24EE" w:rsidRDefault="001B24EE" w:rsidP="001B24EE">
            <w:pPr>
              <w:pStyle w:val="Paragrafoelenco"/>
              <w:rPr>
                <w:b/>
                <w:bCs/>
                <w:sz w:val="21"/>
                <w:szCs w:val="21"/>
                <w:highlight w:val="white"/>
                <w:lang w:val="es-MX"/>
              </w:rPr>
            </w:pPr>
          </w:p>
          <w:p w14:paraId="731DD2F8" w14:textId="77777777" w:rsidR="001B24EE" w:rsidRDefault="001B24EE" w:rsidP="001B24EE">
            <w:pPr>
              <w:widowControl w:val="0"/>
              <w:spacing w:line="240" w:lineRule="auto"/>
              <w:rPr>
                <w:b/>
                <w:bCs/>
                <w:sz w:val="21"/>
                <w:szCs w:val="21"/>
                <w:highlight w:val="white"/>
                <w:lang w:val="es-MX"/>
              </w:rPr>
            </w:pPr>
          </w:p>
          <w:p w14:paraId="026BE016" w14:textId="77777777" w:rsidR="001B24EE" w:rsidRDefault="001B24EE" w:rsidP="001B24EE">
            <w:pPr>
              <w:widowControl w:val="0"/>
              <w:spacing w:line="240" w:lineRule="auto"/>
              <w:rPr>
                <w:b/>
                <w:bCs/>
                <w:sz w:val="21"/>
                <w:szCs w:val="21"/>
                <w:highlight w:val="white"/>
                <w:lang w:val="es-MX"/>
              </w:rPr>
            </w:pPr>
          </w:p>
          <w:p w14:paraId="7974006E" w14:textId="77777777" w:rsidR="001B24EE" w:rsidRDefault="001B24EE" w:rsidP="001B24EE">
            <w:pPr>
              <w:widowControl w:val="0"/>
              <w:spacing w:line="240" w:lineRule="auto"/>
              <w:rPr>
                <w:b/>
                <w:bCs/>
                <w:sz w:val="21"/>
                <w:szCs w:val="21"/>
                <w:highlight w:val="white"/>
                <w:lang w:val="es-MX"/>
              </w:rPr>
            </w:pPr>
          </w:p>
          <w:p w14:paraId="555C27F8" w14:textId="77777777" w:rsidR="001B24EE" w:rsidRDefault="001B24EE" w:rsidP="001B24EE">
            <w:pPr>
              <w:widowControl w:val="0"/>
              <w:spacing w:line="240" w:lineRule="auto"/>
              <w:rPr>
                <w:b/>
                <w:bCs/>
                <w:sz w:val="21"/>
                <w:szCs w:val="21"/>
                <w:highlight w:val="white"/>
                <w:lang w:val="es-MX"/>
              </w:rPr>
            </w:pPr>
          </w:p>
          <w:p w14:paraId="11BF43CF" w14:textId="77777777" w:rsidR="001B24EE" w:rsidRDefault="001B24EE" w:rsidP="001B24EE">
            <w:pPr>
              <w:widowControl w:val="0"/>
              <w:spacing w:line="240" w:lineRule="auto"/>
              <w:rPr>
                <w:b/>
                <w:bCs/>
                <w:sz w:val="21"/>
                <w:szCs w:val="21"/>
                <w:highlight w:val="white"/>
                <w:lang w:val="es-MX"/>
              </w:rPr>
            </w:pPr>
          </w:p>
          <w:p w14:paraId="16D5FEB7" w14:textId="77777777" w:rsidR="001B24EE" w:rsidRDefault="001B24EE" w:rsidP="001B24EE">
            <w:pPr>
              <w:widowControl w:val="0"/>
              <w:spacing w:line="240" w:lineRule="auto"/>
              <w:rPr>
                <w:b/>
                <w:bCs/>
                <w:sz w:val="21"/>
                <w:szCs w:val="21"/>
                <w:highlight w:val="white"/>
                <w:lang w:val="es-MX"/>
              </w:rPr>
            </w:pPr>
          </w:p>
          <w:p w14:paraId="5998BD4C" w14:textId="77777777" w:rsidR="001B24EE" w:rsidRDefault="001B24EE" w:rsidP="001B24EE">
            <w:pPr>
              <w:widowControl w:val="0"/>
              <w:spacing w:line="240" w:lineRule="auto"/>
              <w:rPr>
                <w:b/>
                <w:bCs/>
                <w:sz w:val="21"/>
                <w:szCs w:val="21"/>
                <w:highlight w:val="white"/>
                <w:lang w:val="es-MX"/>
              </w:rPr>
            </w:pPr>
          </w:p>
          <w:p w14:paraId="53A2E64C" w14:textId="77777777" w:rsidR="001B24EE" w:rsidRPr="001B24EE" w:rsidRDefault="001B24EE" w:rsidP="001B24EE">
            <w:pPr>
              <w:widowControl w:val="0"/>
              <w:spacing w:line="240" w:lineRule="auto"/>
              <w:ind w:left="720"/>
              <w:rPr>
                <w:sz w:val="21"/>
                <w:szCs w:val="21"/>
                <w:lang w:val="es-MX"/>
              </w:rPr>
            </w:pPr>
          </w:p>
          <w:p w14:paraId="2B69DBB6" w14:textId="77777777" w:rsidR="001B24EE" w:rsidRDefault="001B24EE" w:rsidP="001B24EE">
            <w:pPr>
              <w:widowControl w:val="0"/>
              <w:numPr>
                <w:ilvl w:val="0"/>
                <w:numId w:val="14"/>
              </w:numPr>
              <w:spacing w:line="240" w:lineRule="auto"/>
              <w:rPr>
                <w:sz w:val="21"/>
                <w:szCs w:val="21"/>
                <w:lang w:val="es-MX"/>
              </w:rPr>
            </w:pPr>
            <w:r w:rsidRPr="001B24EE">
              <w:rPr>
                <w:sz w:val="21"/>
                <w:szCs w:val="21"/>
                <w:lang w:val="es-MX"/>
              </w:rPr>
              <w:t xml:space="preserve">También es importante reforzar los </w:t>
            </w:r>
            <w:r w:rsidRPr="001B24EE">
              <w:rPr>
                <w:b/>
                <w:bCs/>
                <w:sz w:val="21"/>
                <w:szCs w:val="21"/>
                <w:lang w:val="es-MX"/>
              </w:rPr>
              <w:t xml:space="preserve">equipos informáticos de los </w:t>
            </w:r>
            <w:r w:rsidRPr="001B24EE">
              <w:rPr>
                <w:sz w:val="21"/>
                <w:szCs w:val="21"/>
                <w:lang w:val="es-MX"/>
              </w:rPr>
              <w:t>BPDA para mejorar la capacidad de los sistemas informáticos y permitirles integrar herramientas de gestión de riesgos y previsión en sus sistemas bancarios, así como crear y gestionar sistemas de seguimiento geoespacial.</w:t>
            </w:r>
          </w:p>
          <w:p w14:paraId="0A95F372" w14:textId="77777777" w:rsidR="001B24EE" w:rsidRDefault="001B24EE" w:rsidP="001B24EE">
            <w:pPr>
              <w:widowControl w:val="0"/>
              <w:spacing w:line="240" w:lineRule="auto"/>
              <w:rPr>
                <w:sz w:val="21"/>
                <w:szCs w:val="21"/>
                <w:lang w:val="es-MX"/>
              </w:rPr>
            </w:pPr>
          </w:p>
          <w:p w14:paraId="13516173" w14:textId="77777777" w:rsidR="001B24EE" w:rsidRPr="001B24EE" w:rsidRDefault="001B24EE" w:rsidP="001B24EE">
            <w:pPr>
              <w:widowControl w:val="0"/>
              <w:spacing w:line="240" w:lineRule="auto"/>
              <w:rPr>
                <w:sz w:val="21"/>
                <w:szCs w:val="21"/>
                <w:lang w:val="es-MX"/>
              </w:rPr>
            </w:pPr>
            <w:r w:rsidRPr="001B24EE">
              <w:rPr>
                <w:sz w:val="21"/>
                <w:szCs w:val="21"/>
                <w:lang w:val="es-MX"/>
              </w:rPr>
              <w:t>Para garantizar inversiones sostenibles y resistentes frente al cambio climático, los BPDA necesitan competencias sólidas y diversas para responder a los retos climáticos, así como equipos informáticos reforzados para integrar herramientas de gestión de riesgos y previsión en sus sistemas de gestión bancaria.</w:t>
            </w:r>
          </w:p>
          <w:p w14:paraId="30C53BA8" w14:textId="77777777" w:rsidR="001B24EE" w:rsidRPr="001B24EE" w:rsidRDefault="001B24EE" w:rsidP="001B24EE">
            <w:pPr>
              <w:widowControl w:val="0"/>
              <w:spacing w:line="240" w:lineRule="auto"/>
              <w:rPr>
                <w:sz w:val="21"/>
                <w:szCs w:val="21"/>
                <w:lang w:val="es-MX"/>
              </w:rPr>
            </w:pPr>
          </w:p>
          <w:p w14:paraId="63FCCFA2" w14:textId="441CEC0E" w:rsidR="001B24EE" w:rsidRPr="001B24EE" w:rsidRDefault="001B24EE" w:rsidP="001B24EE">
            <w:pPr>
              <w:widowControl w:val="0"/>
              <w:spacing w:line="240" w:lineRule="auto"/>
              <w:rPr>
                <w:b/>
                <w:bCs/>
                <w:sz w:val="21"/>
                <w:szCs w:val="21"/>
                <w:highlight w:val="white"/>
                <w:lang w:val="es-MX"/>
              </w:rPr>
            </w:pPr>
          </w:p>
        </w:tc>
        <w:tc>
          <w:tcPr>
            <w:tcW w:w="482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0C5F82" w14:textId="77777777" w:rsidR="00A73F7E" w:rsidRPr="00A73F7E" w:rsidRDefault="00A73F7E" w:rsidP="00A73F7E">
            <w:pPr>
              <w:widowControl w:val="0"/>
              <w:spacing w:line="240" w:lineRule="auto"/>
              <w:rPr>
                <w:sz w:val="21"/>
                <w:szCs w:val="21"/>
                <w:lang w:val="es-MX"/>
              </w:rPr>
            </w:pPr>
            <w:r w:rsidRPr="00A73F7E">
              <w:rPr>
                <w:sz w:val="21"/>
                <w:szCs w:val="21"/>
                <w:lang w:val="es-MX"/>
              </w:rPr>
              <w:lastRenderedPageBreak/>
              <w:t xml:space="preserve"> </w:t>
            </w:r>
          </w:p>
          <w:p w14:paraId="2FA4DD17" w14:textId="77777777" w:rsidR="00A73F7E" w:rsidRPr="00A73F7E" w:rsidRDefault="00A73F7E" w:rsidP="00A73F7E">
            <w:pPr>
              <w:widowControl w:val="0"/>
              <w:spacing w:line="240" w:lineRule="auto"/>
              <w:rPr>
                <w:sz w:val="21"/>
                <w:szCs w:val="21"/>
                <w:lang w:val="es-MX"/>
              </w:rPr>
            </w:pPr>
          </w:p>
          <w:p w14:paraId="0C8F7B76" w14:textId="77777777" w:rsidR="00A73F7E" w:rsidRDefault="00A73F7E" w:rsidP="00A73F7E">
            <w:pPr>
              <w:widowControl w:val="0"/>
              <w:spacing w:line="240" w:lineRule="auto"/>
              <w:rPr>
                <w:sz w:val="21"/>
                <w:szCs w:val="21"/>
                <w:lang w:val="es-MX"/>
              </w:rPr>
            </w:pPr>
          </w:p>
          <w:p w14:paraId="267D0C2D" w14:textId="65731F95" w:rsidR="00A73F7E" w:rsidRDefault="00A73F7E" w:rsidP="00A73F7E">
            <w:pPr>
              <w:widowControl w:val="0"/>
              <w:spacing w:line="240" w:lineRule="auto"/>
              <w:rPr>
                <w:sz w:val="21"/>
                <w:szCs w:val="21"/>
                <w:lang w:val="es-MX"/>
              </w:rPr>
            </w:pPr>
            <w:r w:rsidRPr="00A73F7E">
              <w:rPr>
                <w:sz w:val="21"/>
                <w:szCs w:val="21"/>
                <w:lang w:val="es-MX"/>
              </w:rPr>
              <w:t xml:space="preserve">Existen varias herramientas para prever y evaluar los riesgos climáticos en la agricultura. Una de ellas, </w:t>
            </w:r>
            <w:proofErr w:type="spellStart"/>
            <w:r w:rsidRPr="00A73F7E">
              <w:rPr>
                <w:b/>
                <w:bCs/>
                <w:sz w:val="21"/>
                <w:szCs w:val="21"/>
                <w:lang w:val="es-MX"/>
              </w:rPr>
              <w:t>AgroMetShell</w:t>
            </w:r>
            <w:proofErr w:type="spellEnd"/>
            <w:r w:rsidRPr="00A73F7E">
              <w:rPr>
                <w:sz w:val="21"/>
                <w:szCs w:val="21"/>
                <w:lang w:val="es-MX"/>
              </w:rPr>
              <w:t>, es un conjunto de herramientas informáticas para evaluar el impacto de las condiciones climáticas en los cultivos, analizar los riesgos climáticos y hacer previsiones regionales de las cosechas utilizando enfoques estadísticos y de modelización de cultivos. Permite el análisis integrado de datos terrestres e información satelital de baja resolución bajo una interfaz común</w:t>
            </w:r>
            <w:r w:rsidRPr="00A73F7E">
              <w:rPr>
                <w:sz w:val="21"/>
                <w:szCs w:val="21"/>
                <w:vertAlign w:val="superscript"/>
                <w:lang w:val="fr-FR"/>
              </w:rPr>
              <w:footnoteReference w:id="5"/>
            </w:r>
            <w:r w:rsidRPr="00A73F7E">
              <w:rPr>
                <w:sz w:val="21"/>
                <w:szCs w:val="21"/>
                <w:lang w:val="es-MX"/>
              </w:rPr>
              <w:t xml:space="preserve"> . Otra herramienta es </w:t>
            </w:r>
            <w:r w:rsidRPr="00A73F7E">
              <w:rPr>
                <w:b/>
                <w:bCs/>
                <w:sz w:val="21"/>
                <w:szCs w:val="21"/>
                <w:lang w:val="es-MX"/>
              </w:rPr>
              <w:t xml:space="preserve">el FAO-MOSAICC </w:t>
            </w:r>
            <w:r w:rsidRPr="00A73F7E">
              <w:rPr>
                <w:sz w:val="21"/>
                <w:szCs w:val="21"/>
                <w:lang w:val="es-MX"/>
              </w:rPr>
              <w:t>(</w:t>
            </w:r>
            <w:proofErr w:type="spellStart"/>
            <w:r w:rsidRPr="00A73F7E">
              <w:rPr>
                <w:sz w:val="21"/>
                <w:szCs w:val="21"/>
                <w:lang w:val="es-MX"/>
              </w:rPr>
              <w:t>Modeling</w:t>
            </w:r>
            <w:proofErr w:type="spellEnd"/>
            <w:r w:rsidRPr="00A73F7E">
              <w:rPr>
                <w:sz w:val="21"/>
                <w:szCs w:val="21"/>
                <w:lang w:val="es-MX"/>
              </w:rPr>
              <w:t xml:space="preserve"> </w:t>
            </w:r>
            <w:proofErr w:type="spellStart"/>
            <w:r w:rsidRPr="00A73F7E">
              <w:rPr>
                <w:sz w:val="21"/>
                <w:szCs w:val="21"/>
                <w:lang w:val="es-MX"/>
              </w:rPr>
              <w:t>System</w:t>
            </w:r>
            <w:proofErr w:type="spellEnd"/>
            <w:r w:rsidRPr="00A73F7E">
              <w:rPr>
                <w:sz w:val="21"/>
                <w:szCs w:val="21"/>
                <w:lang w:val="es-MX"/>
              </w:rPr>
              <w:t xml:space="preserve"> </w:t>
            </w:r>
            <w:proofErr w:type="spellStart"/>
            <w:r w:rsidRPr="00A73F7E">
              <w:rPr>
                <w:sz w:val="21"/>
                <w:szCs w:val="21"/>
                <w:lang w:val="es-MX"/>
              </w:rPr>
              <w:t>for</w:t>
            </w:r>
            <w:proofErr w:type="spellEnd"/>
            <w:r w:rsidRPr="00A73F7E">
              <w:rPr>
                <w:sz w:val="21"/>
                <w:szCs w:val="21"/>
                <w:lang w:val="es-MX"/>
              </w:rPr>
              <w:t xml:space="preserve"> </w:t>
            </w:r>
            <w:proofErr w:type="spellStart"/>
            <w:r w:rsidRPr="00A73F7E">
              <w:rPr>
                <w:sz w:val="21"/>
                <w:szCs w:val="21"/>
                <w:lang w:val="es-MX"/>
              </w:rPr>
              <w:t>Agricultural</w:t>
            </w:r>
            <w:proofErr w:type="spellEnd"/>
            <w:r w:rsidRPr="00A73F7E">
              <w:rPr>
                <w:sz w:val="21"/>
                <w:szCs w:val="21"/>
                <w:lang w:val="es-MX"/>
              </w:rPr>
              <w:t xml:space="preserve"> </w:t>
            </w:r>
            <w:proofErr w:type="spellStart"/>
            <w:r w:rsidRPr="00A73F7E">
              <w:rPr>
                <w:sz w:val="21"/>
                <w:szCs w:val="21"/>
                <w:lang w:val="es-MX"/>
              </w:rPr>
              <w:t>Impacts</w:t>
            </w:r>
            <w:proofErr w:type="spellEnd"/>
            <w:r w:rsidRPr="00A73F7E">
              <w:rPr>
                <w:sz w:val="21"/>
                <w:szCs w:val="21"/>
                <w:lang w:val="es-MX"/>
              </w:rPr>
              <w:t xml:space="preserve"> </w:t>
            </w:r>
            <w:proofErr w:type="spellStart"/>
            <w:r w:rsidRPr="00A73F7E">
              <w:rPr>
                <w:sz w:val="21"/>
                <w:szCs w:val="21"/>
                <w:lang w:val="es-MX"/>
              </w:rPr>
              <w:t>of</w:t>
            </w:r>
            <w:proofErr w:type="spellEnd"/>
            <w:r w:rsidRPr="00A73F7E">
              <w:rPr>
                <w:sz w:val="21"/>
                <w:szCs w:val="21"/>
                <w:lang w:val="es-MX"/>
              </w:rPr>
              <w:t xml:space="preserve"> </w:t>
            </w:r>
            <w:proofErr w:type="spellStart"/>
            <w:r w:rsidRPr="00A73F7E">
              <w:rPr>
                <w:sz w:val="21"/>
                <w:szCs w:val="21"/>
                <w:lang w:val="es-MX"/>
              </w:rPr>
              <w:t>Climate</w:t>
            </w:r>
            <w:proofErr w:type="spellEnd"/>
            <w:r w:rsidRPr="00A73F7E">
              <w:rPr>
                <w:sz w:val="21"/>
                <w:szCs w:val="21"/>
                <w:lang w:val="es-MX"/>
              </w:rPr>
              <w:t xml:space="preserve"> Change), que es un sistema integrado de modelos para la evaluación del impacto agrícola a nivel nacional. Incluye un modelo de crecimiento de cultivos para simular el rendimiento futuro de las cosechas</w:t>
            </w:r>
            <w:r w:rsidRPr="00A73F7E">
              <w:rPr>
                <w:sz w:val="21"/>
                <w:szCs w:val="21"/>
                <w:vertAlign w:val="superscript"/>
                <w:lang w:val="fr-FR"/>
              </w:rPr>
              <w:footnoteReference w:id="6"/>
            </w:r>
            <w:r w:rsidRPr="00A73F7E">
              <w:rPr>
                <w:sz w:val="21"/>
                <w:szCs w:val="21"/>
                <w:lang w:val="es-MX"/>
              </w:rPr>
              <w:t xml:space="preserve"> .</w:t>
            </w:r>
          </w:p>
          <w:p w14:paraId="21B72D53" w14:textId="77777777" w:rsidR="001B24EE" w:rsidRPr="00A73F7E" w:rsidRDefault="001B24EE" w:rsidP="00A73F7E">
            <w:pPr>
              <w:widowControl w:val="0"/>
              <w:spacing w:line="240" w:lineRule="auto"/>
              <w:rPr>
                <w:sz w:val="21"/>
                <w:szCs w:val="21"/>
                <w:lang w:val="es-MX"/>
              </w:rPr>
            </w:pPr>
          </w:p>
          <w:p w14:paraId="2648D432" w14:textId="77777777" w:rsidR="00A73F7E" w:rsidRDefault="00A73F7E" w:rsidP="00A73F7E">
            <w:pPr>
              <w:widowControl w:val="0"/>
              <w:spacing w:line="240" w:lineRule="auto"/>
              <w:rPr>
                <w:sz w:val="21"/>
                <w:szCs w:val="21"/>
                <w:lang w:val="es-MX"/>
              </w:rPr>
            </w:pPr>
            <w:r w:rsidRPr="00A73F7E">
              <w:rPr>
                <w:sz w:val="21"/>
                <w:szCs w:val="21"/>
                <w:lang w:val="es-MX"/>
              </w:rPr>
              <w:t>Otra herramienta digna de mención es la "</w:t>
            </w:r>
            <w:proofErr w:type="spellStart"/>
            <w:r w:rsidRPr="00A73F7E">
              <w:rPr>
                <w:b/>
                <w:bCs/>
                <w:sz w:val="21"/>
                <w:szCs w:val="21"/>
                <w:lang w:val="es-MX"/>
              </w:rPr>
              <w:t>Adaptation</w:t>
            </w:r>
            <w:proofErr w:type="spellEnd"/>
            <w:r w:rsidRPr="00A73F7E">
              <w:rPr>
                <w:b/>
                <w:bCs/>
                <w:sz w:val="21"/>
                <w:szCs w:val="21"/>
                <w:lang w:val="es-MX"/>
              </w:rPr>
              <w:t xml:space="preserve">, </w:t>
            </w:r>
            <w:proofErr w:type="spellStart"/>
            <w:r w:rsidRPr="00A73F7E">
              <w:rPr>
                <w:b/>
                <w:bCs/>
                <w:sz w:val="21"/>
                <w:szCs w:val="21"/>
                <w:lang w:val="es-MX"/>
              </w:rPr>
              <w:t>Biodiversity</w:t>
            </w:r>
            <w:proofErr w:type="spellEnd"/>
            <w:r w:rsidRPr="00A73F7E">
              <w:rPr>
                <w:b/>
                <w:bCs/>
                <w:sz w:val="21"/>
                <w:szCs w:val="21"/>
                <w:lang w:val="es-MX"/>
              </w:rPr>
              <w:t xml:space="preserve"> and </w:t>
            </w:r>
            <w:proofErr w:type="spellStart"/>
            <w:r w:rsidRPr="00A73F7E">
              <w:rPr>
                <w:b/>
                <w:bCs/>
                <w:sz w:val="21"/>
                <w:szCs w:val="21"/>
                <w:lang w:val="es-MX"/>
              </w:rPr>
              <w:t>Carbon</w:t>
            </w:r>
            <w:proofErr w:type="spellEnd"/>
            <w:r w:rsidRPr="00A73F7E">
              <w:rPr>
                <w:b/>
                <w:bCs/>
                <w:sz w:val="21"/>
                <w:szCs w:val="21"/>
                <w:lang w:val="es-MX"/>
              </w:rPr>
              <w:t xml:space="preserve"> </w:t>
            </w:r>
            <w:proofErr w:type="spellStart"/>
            <w:r w:rsidRPr="00A73F7E">
              <w:rPr>
                <w:b/>
                <w:bCs/>
                <w:sz w:val="21"/>
                <w:szCs w:val="21"/>
                <w:lang w:val="es-MX"/>
              </w:rPr>
              <w:t>Mapping</w:t>
            </w:r>
            <w:proofErr w:type="spellEnd"/>
            <w:r w:rsidRPr="00A73F7E">
              <w:rPr>
                <w:b/>
                <w:bCs/>
                <w:sz w:val="21"/>
                <w:szCs w:val="21"/>
                <w:lang w:val="es-MX"/>
              </w:rPr>
              <w:t xml:space="preserve"> Tool - ABC-Map</w:t>
            </w:r>
            <w:r w:rsidRPr="00A73F7E">
              <w:rPr>
                <w:sz w:val="21"/>
                <w:szCs w:val="21"/>
                <w:lang w:val="es-MX"/>
              </w:rPr>
              <w:t xml:space="preserve">", desarrollada por la FAO y el FIDA con el apoyo de la AFD y el Gobierno alemán (BMEL). </w:t>
            </w:r>
          </w:p>
          <w:p w14:paraId="79E8171A" w14:textId="77777777" w:rsidR="001B24EE" w:rsidRDefault="001B24EE" w:rsidP="00A73F7E">
            <w:pPr>
              <w:widowControl w:val="0"/>
              <w:spacing w:line="240" w:lineRule="auto"/>
              <w:rPr>
                <w:sz w:val="21"/>
                <w:szCs w:val="21"/>
                <w:lang w:val="es-MX"/>
              </w:rPr>
            </w:pPr>
          </w:p>
          <w:p w14:paraId="4C3A6946" w14:textId="77777777" w:rsidR="001B24EE" w:rsidRDefault="001B24EE" w:rsidP="001B24EE">
            <w:pPr>
              <w:widowControl w:val="0"/>
              <w:spacing w:line="240" w:lineRule="auto"/>
              <w:rPr>
                <w:sz w:val="21"/>
                <w:szCs w:val="21"/>
                <w:lang w:val="es-MX"/>
              </w:rPr>
            </w:pPr>
            <w:r w:rsidRPr="001B24EE">
              <w:rPr>
                <w:sz w:val="21"/>
                <w:szCs w:val="21"/>
                <w:lang w:val="es-MX"/>
              </w:rPr>
              <w:t>ABC-Map fue diseñado específicamente para evaluar de forma holística los impactos ambientales de las políticas, planes e inversiones nacionales en el sector AFOLU (Agricultura, Silvicultura y Otros Usos del Suelo). ABC-Map ayuda a desarrollar sinergias y compensaciones entre el clima, la biodiversidad y las acciones de restauración de la tierra y las acciones de restauración de la tierra. ABC-Map consta de tres secciones independientes: adaptación, biodiversidad y carbono, que también pueden utilizarse por separado.</w:t>
            </w:r>
            <w:r w:rsidRPr="001B24EE">
              <w:rPr>
                <w:sz w:val="21"/>
                <w:szCs w:val="21"/>
                <w:vertAlign w:val="superscript"/>
                <w:lang w:val="fr-FR"/>
              </w:rPr>
              <w:footnoteReference w:id="7"/>
            </w:r>
            <w:r w:rsidRPr="001B24EE">
              <w:rPr>
                <w:sz w:val="21"/>
                <w:szCs w:val="21"/>
                <w:lang w:val="es-MX"/>
              </w:rPr>
              <w:t xml:space="preserve"> .</w:t>
            </w:r>
          </w:p>
          <w:p w14:paraId="58C15FBD" w14:textId="77777777" w:rsidR="001B24EE" w:rsidRDefault="001B24EE" w:rsidP="001B24EE">
            <w:pPr>
              <w:widowControl w:val="0"/>
              <w:spacing w:line="240" w:lineRule="auto"/>
              <w:rPr>
                <w:sz w:val="21"/>
                <w:szCs w:val="21"/>
                <w:lang w:val="es-MX"/>
              </w:rPr>
            </w:pPr>
          </w:p>
          <w:p w14:paraId="69F26EE7" w14:textId="77777777" w:rsidR="001B24EE" w:rsidRDefault="001B24EE" w:rsidP="001B24EE">
            <w:pPr>
              <w:widowControl w:val="0"/>
              <w:spacing w:line="240" w:lineRule="auto"/>
              <w:rPr>
                <w:sz w:val="21"/>
                <w:szCs w:val="21"/>
                <w:lang w:val="es-MX"/>
              </w:rPr>
            </w:pPr>
          </w:p>
          <w:p w14:paraId="462CFFCB" w14:textId="77777777" w:rsidR="001B24EE" w:rsidRDefault="001B24EE" w:rsidP="001B24EE">
            <w:pPr>
              <w:widowControl w:val="0"/>
              <w:spacing w:line="240" w:lineRule="auto"/>
              <w:rPr>
                <w:sz w:val="21"/>
                <w:szCs w:val="21"/>
                <w:lang w:val="es-MX"/>
              </w:rPr>
            </w:pPr>
          </w:p>
          <w:p w14:paraId="76690E6A" w14:textId="77777777" w:rsidR="001B24EE" w:rsidRDefault="001B24EE" w:rsidP="001B24EE">
            <w:pPr>
              <w:widowControl w:val="0"/>
              <w:spacing w:line="240" w:lineRule="auto"/>
              <w:rPr>
                <w:sz w:val="21"/>
                <w:szCs w:val="21"/>
                <w:lang w:val="es-MX"/>
              </w:rPr>
            </w:pPr>
          </w:p>
          <w:p w14:paraId="36D65D85" w14:textId="77777777" w:rsidR="001B24EE" w:rsidRDefault="001B24EE" w:rsidP="001B24EE">
            <w:pPr>
              <w:widowControl w:val="0"/>
              <w:spacing w:line="240" w:lineRule="auto"/>
              <w:rPr>
                <w:sz w:val="21"/>
                <w:szCs w:val="21"/>
                <w:lang w:val="es-MX"/>
              </w:rPr>
            </w:pPr>
          </w:p>
          <w:p w14:paraId="058435A6" w14:textId="77777777" w:rsidR="001B24EE" w:rsidRDefault="001B24EE" w:rsidP="001B24EE">
            <w:pPr>
              <w:widowControl w:val="0"/>
              <w:spacing w:line="240" w:lineRule="auto"/>
              <w:rPr>
                <w:sz w:val="21"/>
                <w:szCs w:val="21"/>
                <w:lang w:val="es-MX"/>
              </w:rPr>
            </w:pPr>
          </w:p>
          <w:p w14:paraId="083E1B10" w14:textId="77777777" w:rsidR="001B24EE" w:rsidRDefault="001B24EE" w:rsidP="001B24EE">
            <w:pPr>
              <w:widowControl w:val="0"/>
              <w:spacing w:line="240" w:lineRule="auto"/>
              <w:rPr>
                <w:sz w:val="21"/>
                <w:szCs w:val="21"/>
                <w:lang w:val="es-MX"/>
              </w:rPr>
            </w:pPr>
          </w:p>
          <w:p w14:paraId="24E251B8" w14:textId="77777777" w:rsidR="001B24EE" w:rsidRDefault="001B24EE" w:rsidP="001B24EE">
            <w:pPr>
              <w:widowControl w:val="0"/>
              <w:spacing w:line="240" w:lineRule="auto"/>
              <w:rPr>
                <w:sz w:val="21"/>
                <w:szCs w:val="21"/>
                <w:lang w:val="es-MX"/>
              </w:rPr>
            </w:pPr>
          </w:p>
          <w:p w14:paraId="731AC338" w14:textId="77777777" w:rsidR="001B24EE" w:rsidRDefault="001B24EE" w:rsidP="001B24EE">
            <w:pPr>
              <w:widowControl w:val="0"/>
              <w:spacing w:line="240" w:lineRule="auto"/>
              <w:rPr>
                <w:sz w:val="21"/>
                <w:szCs w:val="21"/>
                <w:lang w:val="es-MX"/>
              </w:rPr>
            </w:pPr>
          </w:p>
          <w:p w14:paraId="3A9CFF81" w14:textId="77777777" w:rsidR="001B24EE" w:rsidRDefault="001B24EE" w:rsidP="001B24EE">
            <w:pPr>
              <w:widowControl w:val="0"/>
              <w:spacing w:line="240" w:lineRule="auto"/>
              <w:rPr>
                <w:sz w:val="21"/>
                <w:szCs w:val="21"/>
                <w:lang w:val="es-MX"/>
              </w:rPr>
            </w:pPr>
          </w:p>
          <w:p w14:paraId="6BD1D0F2" w14:textId="77777777" w:rsidR="001B24EE" w:rsidRDefault="001B24EE" w:rsidP="001B24EE">
            <w:pPr>
              <w:widowControl w:val="0"/>
              <w:spacing w:line="240" w:lineRule="auto"/>
              <w:rPr>
                <w:sz w:val="21"/>
                <w:szCs w:val="21"/>
                <w:lang w:val="es-MX"/>
              </w:rPr>
            </w:pPr>
          </w:p>
          <w:p w14:paraId="0AD12F46" w14:textId="77777777" w:rsidR="001B24EE" w:rsidRDefault="001B24EE" w:rsidP="001B24EE">
            <w:pPr>
              <w:widowControl w:val="0"/>
              <w:spacing w:line="240" w:lineRule="auto"/>
              <w:rPr>
                <w:sz w:val="21"/>
                <w:szCs w:val="21"/>
                <w:lang w:val="es-MX"/>
              </w:rPr>
            </w:pPr>
          </w:p>
          <w:p w14:paraId="604B885E" w14:textId="77777777" w:rsidR="001B24EE" w:rsidRDefault="001B24EE" w:rsidP="001B24EE">
            <w:pPr>
              <w:widowControl w:val="0"/>
              <w:spacing w:line="240" w:lineRule="auto"/>
              <w:rPr>
                <w:sz w:val="21"/>
                <w:szCs w:val="21"/>
                <w:lang w:val="es-MX"/>
              </w:rPr>
            </w:pPr>
          </w:p>
          <w:p w14:paraId="4E8C6425" w14:textId="77777777" w:rsidR="001B24EE" w:rsidRDefault="001B24EE" w:rsidP="001B24EE">
            <w:pPr>
              <w:widowControl w:val="0"/>
              <w:spacing w:line="240" w:lineRule="auto"/>
              <w:rPr>
                <w:sz w:val="21"/>
                <w:szCs w:val="21"/>
                <w:lang w:val="es-MX"/>
              </w:rPr>
            </w:pPr>
          </w:p>
          <w:p w14:paraId="1A5CCAA0" w14:textId="77777777" w:rsidR="001B24EE" w:rsidRDefault="001B24EE" w:rsidP="001B24EE">
            <w:pPr>
              <w:widowControl w:val="0"/>
              <w:spacing w:line="240" w:lineRule="auto"/>
              <w:rPr>
                <w:sz w:val="21"/>
                <w:szCs w:val="21"/>
                <w:lang w:val="es-MX"/>
              </w:rPr>
            </w:pPr>
          </w:p>
          <w:p w14:paraId="3151E365" w14:textId="3F937EDA" w:rsidR="001B24EE" w:rsidRPr="001B24EE" w:rsidRDefault="001B24EE" w:rsidP="001B24EE">
            <w:pPr>
              <w:pStyle w:val="Paragrafoelenco"/>
              <w:numPr>
                <w:ilvl w:val="0"/>
                <w:numId w:val="2"/>
              </w:numPr>
              <w:spacing w:line="240" w:lineRule="auto"/>
              <w:rPr>
                <w:sz w:val="32"/>
                <w:szCs w:val="32"/>
                <w:lang w:val="es-CO"/>
              </w:rPr>
            </w:pPr>
            <w:r w:rsidRPr="001B24EE">
              <w:rPr>
                <w:sz w:val="32"/>
                <w:szCs w:val="32"/>
                <w:lang w:val="es-CO"/>
              </w:rPr>
              <w:t>Qué habilidades para aplicar las herramientas</w:t>
            </w:r>
          </w:p>
          <w:p w14:paraId="1FC765A7" w14:textId="77777777" w:rsidR="001B24EE" w:rsidRPr="001B24EE" w:rsidRDefault="001B24EE" w:rsidP="001B24EE">
            <w:pPr>
              <w:pStyle w:val="Paragrafoelenco"/>
              <w:widowControl w:val="0"/>
              <w:spacing w:line="240" w:lineRule="auto"/>
              <w:ind w:left="1004"/>
              <w:rPr>
                <w:b/>
                <w:sz w:val="21"/>
                <w:szCs w:val="21"/>
                <w:lang w:val="es-MX"/>
              </w:rPr>
            </w:pPr>
          </w:p>
          <w:p w14:paraId="2D8D67B1" w14:textId="77777777" w:rsidR="001B24EE" w:rsidRPr="001B24EE" w:rsidRDefault="001B24EE" w:rsidP="001B24EE">
            <w:pPr>
              <w:widowControl w:val="0"/>
              <w:spacing w:line="240" w:lineRule="auto"/>
              <w:rPr>
                <w:sz w:val="21"/>
                <w:szCs w:val="21"/>
                <w:lang w:val="es-MX"/>
              </w:rPr>
            </w:pPr>
            <w:r w:rsidRPr="001B24EE">
              <w:rPr>
                <w:sz w:val="21"/>
                <w:szCs w:val="21"/>
                <w:lang w:val="es-MX"/>
              </w:rPr>
              <w:t xml:space="preserve">Como se ha mencionado anteriormente como factor limitante para la adopción y el uso de herramientas avanzadas de evaluación del riesgo climático, los conocimientos técnicos son esenciales en los bancos. </w:t>
            </w:r>
          </w:p>
          <w:p w14:paraId="24CFCE83" w14:textId="77777777" w:rsidR="001B24EE" w:rsidRPr="001B24EE" w:rsidRDefault="001B24EE" w:rsidP="001B24EE">
            <w:pPr>
              <w:widowControl w:val="0"/>
              <w:spacing w:line="240" w:lineRule="auto"/>
              <w:rPr>
                <w:sz w:val="21"/>
                <w:szCs w:val="21"/>
                <w:lang w:val="es-MX"/>
              </w:rPr>
            </w:pPr>
            <w:r w:rsidRPr="001B24EE">
              <w:rPr>
                <w:sz w:val="21"/>
                <w:szCs w:val="21"/>
                <w:lang w:val="es-MX"/>
              </w:rPr>
              <w:t xml:space="preserve">Estos conocimientos técnicos requieren competencias que no forman parte del negocio de la banca de desarrollo tal y como lo conocemos hoy en día. Los </w:t>
            </w:r>
            <w:proofErr w:type="spellStart"/>
            <w:r w:rsidRPr="001B24EE">
              <w:rPr>
                <w:sz w:val="21"/>
                <w:szCs w:val="21"/>
                <w:lang w:val="es-MX"/>
              </w:rPr>
              <w:t>BAsD</w:t>
            </w:r>
            <w:proofErr w:type="spellEnd"/>
            <w:r w:rsidRPr="001B24EE">
              <w:rPr>
                <w:sz w:val="21"/>
                <w:szCs w:val="21"/>
                <w:lang w:val="es-MX"/>
              </w:rPr>
              <w:t xml:space="preserve"> deben integrar competencias clave para afrontar los retos climáticos:</w:t>
            </w:r>
          </w:p>
          <w:p w14:paraId="53324FEE" w14:textId="77777777" w:rsidR="001B24EE" w:rsidRPr="001B24EE" w:rsidRDefault="001B24EE" w:rsidP="001B24EE">
            <w:pPr>
              <w:widowControl w:val="0"/>
              <w:numPr>
                <w:ilvl w:val="0"/>
                <w:numId w:val="14"/>
              </w:numPr>
              <w:spacing w:line="240" w:lineRule="auto"/>
              <w:rPr>
                <w:sz w:val="21"/>
                <w:szCs w:val="21"/>
                <w:lang w:val="es-MX"/>
              </w:rPr>
            </w:pPr>
            <w:r w:rsidRPr="001B24EE">
              <w:rPr>
                <w:sz w:val="21"/>
                <w:szCs w:val="21"/>
                <w:lang w:val="es-MX"/>
              </w:rPr>
              <w:t xml:space="preserve">Capacidad de </w:t>
            </w:r>
            <w:r w:rsidRPr="001B24EE">
              <w:rPr>
                <w:b/>
                <w:bCs/>
                <w:sz w:val="21"/>
                <w:szCs w:val="21"/>
                <w:lang w:val="es-MX"/>
              </w:rPr>
              <w:t>evaluación de los riesgos climáticos</w:t>
            </w:r>
            <w:r w:rsidRPr="001B24EE">
              <w:rPr>
                <w:sz w:val="21"/>
                <w:szCs w:val="21"/>
                <w:lang w:val="es-MX"/>
              </w:rPr>
              <w:t>: los BPDA deben ser capaces de identificar los riesgos climáticos potenciales asociados a los proyectos de desarrollo que financian y elaborar planes para hacerles frente.</w:t>
            </w:r>
          </w:p>
          <w:p w14:paraId="4C313D38" w14:textId="77777777" w:rsidR="001B24EE" w:rsidRPr="001B24EE" w:rsidRDefault="001B24EE" w:rsidP="001B24EE">
            <w:pPr>
              <w:widowControl w:val="0"/>
              <w:numPr>
                <w:ilvl w:val="0"/>
                <w:numId w:val="14"/>
              </w:numPr>
              <w:spacing w:line="240" w:lineRule="auto"/>
              <w:rPr>
                <w:sz w:val="21"/>
                <w:szCs w:val="21"/>
                <w:lang w:val="es-MX"/>
              </w:rPr>
            </w:pPr>
            <w:r w:rsidRPr="001B24EE">
              <w:rPr>
                <w:sz w:val="21"/>
                <w:szCs w:val="21"/>
                <w:lang w:val="es-MX"/>
              </w:rPr>
              <w:t xml:space="preserve">Conocimientos de </w:t>
            </w:r>
            <w:r w:rsidRPr="001B24EE">
              <w:rPr>
                <w:b/>
                <w:bCs/>
                <w:sz w:val="21"/>
                <w:szCs w:val="21"/>
                <w:lang w:val="es-MX"/>
              </w:rPr>
              <w:t>financiación climática</w:t>
            </w:r>
            <w:r w:rsidRPr="001B24EE">
              <w:rPr>
                <w:sz w:val="21"/>
                <w:szCs w:val="21"/>
                <w:lang w:val="es-MX"/>
              </w:rPr>
              <w:t>: los BPDA deben ser capaces de comprender los mecanismos de financiación climática y estructurar proyectos financieros sostenibles para proyectos relacionados con el clima.</w:t>
            </w:r>
          </w:p>
          <w:p w14:paraId="18066C6E" w14:textId="77777777" w:rsidR="001B24EE" w:rsidRPr="001B24EE" w:rsidRDefault="001B24EE" w:rsidP="001B24EE">
            <w:pPr>
              <w:widowControl w:val="0"/>
              <w:numPr>
                <w:ilvl w:val="0"/>
                <w:numId w:val="14"/>
              </w:numPr>
              <w:spacing w:line="240" w:lineRule="auto"/>
              <w:rPr>
                <w:sz w:val="21"/>
                <w:szCs w:val="21"/>
                <w:lang w:val="es-MX"/>
              </w:rPr>
            </w:pPr>
            <w:r w:rsidRPr="001B24EE">
              <w:rPr>
                <w:b/>
                <w:bCs/>
                <w:sz w:val="21"/>
                <w:szCs w:val="21"/>
                <w:lang w:val="es-MX"/>
              </w:rPr>
              <w:t>Competencias técnicas</w:t>
            </w:r>
            <w:r w:rsidRPr="001B24EE">
              <w:rPr>
                <w:sz w:val="21"/>
                <w:szCs w:val="21"/>
                <w:lang w:val="es-MX"/>
              </w:rPr>
              <w:t>: los BPDA deben tener las competencias técnicas necesarias para evaluar la viabilidad técnica de los proyectos relacionados con el clima y elaborar planes de ejecución adecuados.</w:t>
            </w:r>
          </w:p>
          <w:p w14:paraId="497A7EB1" w14:textId="77777777" w:rsidR="001B24EE" w:rsidRPr="001B24EE" w:rsidRDefault="001B24EE" w:rsidP="001B24EE">
            <w:pPr>
              <w:widowControl w:val="0"/>
              <w:numPr>
                <w:ilvl w:val="0"/>
                <w:numId w:val="14"/>
              </w:numPr>
              <w:spacing w:line="240" w:lineRule="auto"/>
              <w:rPr>
                <w:sz w:val="21"/>
                <w:szCs w:val="21"/>
                <w:lang w:val="es-MX"/>
              </w:rPr>
            </w:pPr>
            <w:r w:rsidRPr="001B24EE">
              <w:rPr>
                <w:sz w:val="21"/>
                <w:szCs w:val="21"/>
                <w:lang w:val="es-MX"/>
              </w:rPr>
              <w:t xml:space="preserve">Capacidad de </w:t>
            </w:r>
            <w:r w:rsidRPr="001B24EE">
              <w:rPr>
                <w:b/>
                <w:bCs/>
                <w:sz w:val="21"/>
                <w:szCs w:val="21"/>
                <w:lang w:val="es-MX"/>
              </w:rPr>
              <w:t>análisis del mercado</w:t>
            </w:r>
            <w:r w:rsidRPr="001B24EE">
              <w:rPr>
                <w:sz w:val="21"/>
                <w:szCs w:val="21"/>
                <w:lang w:val="es-MX"/>
              </w:rPr>
              <w:t>: los BPDA deben ser capaces de analizar las tendencias del mercado relacionadas con el clima e identificar oportunidades para financiar proyectos sostenibles.</w:t>
            </w:r>
          </w:p>
          <w:p w14:paraId="7B5B381F" w14:textId="77777777" w:rsidR="001B24EE" w:rsidRPr="001B24EE" w:rsidRDefault="001B24EE" w:rsidP="001B24EE">
            <w:pPr>
              <w:widowControl w:val="0"/>
              <w:numPr>
                <w:ilvl w:val="0"/>
                <w:numId w:val="14"/>
              </w:numPr>
              <w:spacing w:line="240" w:lineRule="auto"/>
              <w:rPr>
                <w:sz w:val="21"/>
                <w:szCs w:val="21"/>
                <w:lang w:val="es-MX"/>
              </w:rPr>
            </w:pPr>
            <w:r w:rsidRPr="001B24EE">
              <w:rPr>
                <w:sz w:val="21"/>
                <w:szCs w:val="21"/>
                <w:lang w:val="es-MX"/>
              </w:rPr>
              <w:t xml:space="preserve">Capacidad de </w:t>
            </w:r>
            <w:r w:rsidRPr="001B24EE">
              <w:rPr>
                <w:b/>
                <w:bCs/>
                <w:sz w:val="21"/>
                <w:szCs w:val="21"/>
                <w:lang w:val="es-MX"/>
              </w:rPr>
              <w:t>implicación de las partes interesadas</w:t>
            </w:r>
            <w:r w:rsidRPr="001B24EE">
              <w:rPr>
                <w:sz w:val="21"/>
                <w:szCs w:val="21"/>
                <w:lang w:val="es-MX"/>
              </w:rPr>
              <w:t>: Los BPDA deben ser capaces de colaborar estrechamente con las principales partes interesadas, incluidos los gobiernos y las comunidades locales, para garantizar que los proyectos relacionados con el clima satisfacen las necesidades locales y benefician a la comunidad.</w:t>
            </w:r>
          </w:p>
          <w:p w14:paraId="522FE37B" w14:textId="717E9512" w:rsidR="001B24EE" w:rsidRDefault="001B24EE" w:rsidP="001B24EE">
            <w:pPr>
              <w:widowControl w:val="0"/>
              <w:numPr>
                <w:ilvl w:val="0"/>
                <w:numId w:val="14"/>
              </w:numPr>
              <w:spacing w:line="240" w:lineRule="auto"/>
              <w:rPr>
                <w:sz w:val="21"/>
                <w:szCs w:val="21"/>
                <w:lang w:val="es-MX"/>
              </w:rPr>
            </w:pPr>
            <w:r w:rsidRPr="001B24EE">
              <w:rPr>
                <w:sz w:val="21"/>
                <w:szCs w:val="21"/>
                <w:lang w:val="es-MX"/>
              </w:rPr>
              <w:t xml:space="preserve">Capacidades de </w:t>
            </w:r>
            <w:r w:rsidRPr="001B24EE">
              <w:rPr>
                <w:b/>
                <w:bCs/>
                <w:sz w:val="21"/>
                <w:szCs w:val="21"/>
                <w:lang w:val="es-MX"/>
              </w:rPr>
              <w:t>comunicación y promoción</w:t>
            </w:r>
            <w:r w:rsidRPr="001B24EE">
              <w:rPr>
                <w:sz w:val="21"/>
                <w:szCs w:val="21"/>
                <w:lang w:val="es-MX"/>
              </w:rPr>
              <w:t>: los BPDA deben ser capaces de comunicar eficazmente los beneficios de los proyectos relacionados con el clima y abogar por la acción climática ante gobiernos, socios y partes interesadas.</w:t>
            </w:r>
          </w:p>
          <w:p w14:paraId="59754851" w14:textId="77777777" w:rsidR="001B24EE" w:rsidRDefault="001B24EE" w:rsidP="001B24EE">
            <w:pPr>
              <w:widowControl w:val="0"/>
              <w:spacing w:line="240" w:lineRule="auto"/>
              <w:rPr>
                <w:sz w:val="21"/>
                <w:szCs w:val="21"/>
                <w:lang w:val="es-MX"/>
              </w:rPr>
            </w:pPr>
          </w:p>
          <w:p w14:paraId="34B42AD7" w14:textId="77777777" w:rsidR="001B24EE" w:rsidRDefault="001B24EE" w:rsidP="001B24EE">
            <w:pPr>
              <w:widowControl w:val="0"/>
              <w:spacing w:line="240" w:lineRule="auto"/>
              <w:rPr>
                <w:sz w:val="21"/>
                <w:szCs w:val="21"/>
                <w:lang w:val="es-MX"/>
              </w:rPr>
            </w:pPr>
          </w:p>
          <w:p w14:paraId="64F7C34F" w14:textId="77777777" w:rsidR="001B24EE" w:rsidRDefault="001B24EE" w:rsidP="001B24EE">
            <w:pPr>
              <w:widowControl w:val="0"/>
              <w:spacing w:line="240" w:lineRule="auto"/>
              <w:rPr>
                <w:sz w:val="21"/>
                <w:szCs w:val="21"/>
                <w:lang w:val="es-MX"/>
              </w:rPr>
            </w:pPr>
          </w:p>
          <w:p w14:paraId="4F0B6486" w14:textId="77777777" w:rsidR="001B24EE" w:rsidRDefault="001B24EE" w:rsidP="001B24EE">
            <w:pPr>
              <w:widowControl w:val="0"/>
              <w:spacing w:line="240" w:lineRule="auto"/>
              <w:rPr>
                <w:sz w:val="21"/>
                <w:szCs w:val="21"/>
                <w:lang w:val="es-MX"/>
              </w:rPr>
            </w:pPr>
          </w:p>
          <w:p w14:paraId="6F4A6D50" w14:textId="77777777" w:rsidR="001B24EE" w:rsidRDefault="001B24EE" w:rsidP="001B24EE">
            <w:pPr>
              <w:widowControl w:val="0"/>
              <w:spacing w:line="240" w:lineRule="auto"/>
              <w:rPr>
                <w:sz w:val="21"/>
                <w:szCs w:val="21"/>
                <w:lang w:val="es-MX"/>
              </w:rPr>
            </w:pPr>
          </w:p>
          <w:p w14:paraId="4C883B12" w14:textId="77777777" w:rsidR="001B24EE" w:rsidRDefault="001B24EE" w:rsidP="001B24EE">
            <w:pPr>
              <w:widowControl w:val="0"/>
              <w:spacing w:line="240" w:lineRule="auto"/>
              <w:rPr>
                <w:sz w:val="21"/>
                <w:szCs w:val="21"/>
                <w:lang w:val="es-MX"/>
              </w:rPr>
            </w:pPr>
          </w:p>
          <w:p w14:paraId="705BCF65" w14:textId="77777777" w:rsidR="001B24EE" w:rsidRDefault="001B24EE" w:rsidP="001B24EE">
            <w:pPr>
              <w:widowControl w:val="0"/>
              <w:spacing w:line="240" w:lineRule="auto"/>
              <w:rPr>
                <w:sz w:val="21"/>
                <w:szCs w:val="21"/>
                <w:lang w:val="es-MX"/>
              </w:rPr>
            </w:pPr>
          </w:p>
          <w:p w14:paraId="122B2637" w14:textId="77777777" w:rsidR="001B24EE" w:rsidRDefault="001B24EE" w:rsidP="001B24EE">
            <w:pPr>
              <w:widowControl w:val="0"/>
              <w:spacing w:line="240" w:lineRule="auto"/>
              <w:rPr>
                <w:sz w:val="21"/>
                <w:szCs w:val="21"/>
                <w:lang w:val="es-MX"/>
              </w:rPr>
            </w:pPr>
          </w:p>
          <w:p w14:paraId="07745169" w14:textId="77777777" w:rsidR="001B24EE" w:rsidRDefault="001B24EE" w:rsidP="001B24EE">
            <w:pPr>
              <w:widowControl w:val="0"/>
              <w:spacing w:line="240" w:lineRule="auto"/>
              <w:rPr>
                <w:sz w:val="21"/>
                <w:szCs w:val="21"/>
                <w:lang w:val="es-MX"/>
              </w:rPr>
            </w:pPr>
          </w:p>
          <w:p w14:paraId="574CE356" w14:textId="77777777" w:rsidR="001B24EE" w:rsidRDefault="001B24EE" w:rsidP="001B24EE">
            <w:pPr>
              <w:widowControl w:val="0"/>
              <w:spacing w:line="240" w:lineRule="auto"/>
              <w:rPr>
                <w:sz w:val="21"/>
                <w:szCs w:val="21"/>
                <w:lang w:val="es-MX"/>
              </w:rPr>
            </w:pPr>
          </w:p>
          <w:p w14:paraId="7307E8CE" w14:textId="77777777" w:rsidR="001B24EE" w:rsidRPr="001B24EE" w:rsidRDefault="001B24EE" w:rsidP="001B24EE">
            <w:pPr>
              <w:widowControl w:val="0"/>
              <w:spacing w:line="240" w:lineRule="auto"/>
              <w:rPr>
                <w:sz w:val="21"/>
                <w:szCs w:val="21"/>
                <w:lang w:val="es-MX"/>
              </w:rPr>
            </w:pPr>
          </w:p>
          <w:p w14:paraId="28E1100F" w14:textId="77777777" w:rsidR="001B24EE" w:rsidRPr="00A73F7E" w:rsidRDefault="001B24EE" w:rsidP="00A73F7E">
            <w:pPr>
              <w:widowControl w:val="0"/>
              <w:spacing w:line="240" w:lineRule="auto"/>
              <w:rPr>
                <w:sz w:val="21"/>
                <w:szCs w:val="21"/>
                <w:lang w:val="es-MX"/>
              </w:rPr>
            </w:pPr>
          </w:p>
          <w:p w14:paraId="74B666DF" w14:textId="3C839B4B" w:rsidR="00A73F7E" w:rsidRPr="00A73F7E" w:rsidRDefault="00A73F7E" w:rsidP="00A73F7E">
            <w:pPr>
              <w:widowControl w:val="0"/>
              <w:spacing w:line="240" w:lineRule="auto"/>
              <w:rPr>
                <w:sz w:val="21"/>
                <w:szCs w:val="21"/>
                <w:lang w:val="es-MX"/>
              </w:rPr>
            </w:pPr>
          </w:p>
        </w:tc>
      </w:tr>
    </w:tbl>
    <w:p w14:paraId="58F5CF34" w14:textId="77777777" w:rsidR="00A73F7E" w:rsidRDefault="00A73F7E"/>
    <w:p w14:paraId="456E5722" w14:textId="77777777" w:rsidR="00A73F7E" w:rsidRPr="00A73F7E" w:rsidRDefault="00A73F7E">
      <w:pPr>
        <w:rPr>
          <w:lang w:val="es-MX"/>
        </w:rPr>
      </w:pPr>
    </w:p>
    <w:p w14:paraId="7BEF9327" w14:textId="3006FA5E" w:rsidR="00A73F7E" w:rsidRPr="00A73F7E" w:rsidRDefault="00A73F7E">
      <w:pPr>
        <w:rPr>
          <w:lang w:val="es-MX"/>
        </w:rPr>
      </w:pPr>
    </w:p>
    <w:p w14:paraId="17C1DB67" w14:textId="77777777" w:rsidR="00A73F7E" w:rsidRDefault="00A73F7E"/>
    <w:p w14:paraId="4123D114" w14:textId="77777777" w:rsidR="001B24EE" w:rsidRDefault="001B24EE"/>
    <w:p w14:paraId="4DE81D54" w14:textId="77777777" w:rsidR="001B24EE" w:rsidRDefault="001B24EE"/>
    <w:p w14:paraId="648BF625" w14:textId="77777777" w:rsidR="001B24EE" w:rsidRDefault="001B24EE"/>
    <w:p w14:paraId="7E011EE9" w14:textId="77777777" w:rsidR="001B24EE" w:rsidRDefault="001B24EE"/>
    <w:p w14:paraId="39278B4F" w14:textId="77777777" w:rsidR="001B24EE" w:rsidRDefault="001B24EE"/>
    <w:p w14:paraId="620A4824" w14:textId="77777777" w:rsidR="001B24EE" w:rsidRDefault="001B24EE"/>
    <w:p w14:paraId="735847D6" w14:textId="77777777" w:rsidR="001B24EE" w:rsidRDefault="001B24EE"/>
    <w:p w14:paraId="5F8C3059" w14:textId="77777777" w:rsidR="001B24EE" w:rsidRPr="001B24EE" w:rsidRDefault="001B24EE">
      <w:pPr>
        <w:rPr>
          <w:lang w:val="es-MX"/>
        </w:rPr>
      </w:pPr>
    </w:p>
    <w:sectPr w:rsidR="001B24EE" w:rsidRPr="001B24EE">
      <w:headerReference w:type="default" r:id="rId13"/>
      <w:footerReference w:type="even" r:id="rId14"/>
      <w:footerReference w:type="default" r:id="rId15"/>
      <w:pgSz w:w="11909" w:h="16834"/>
      <w:pgMar w:top="1133" w:right="1133" w:bottom="1133" w:left="1133"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E132E" w14:textId="77777777" w:rsidR="006A0693" w:rsidRDefault="006A0693">
      <w:pPr>
        <w:spacing w:line="240" w:lineRule="auto"/>
      </w:pPr>
      <w:r>
        <w:separator/>
      </w:r>
    </w:p>
  </w:endnote>
  <w:endnote w:type="continuationSeparator" w:id="0">
    <w:p w14:paraId="574EC3D2" w14:textId="77777777" w:rsidR="006A0693" w:rsidRDefault="006A06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69B32" w14:textId="77777777" w:rsidR="00AE12E9" w:rsidRDefault="00000000">
    <w:pPr>
      <w:jc w:val="right"/>
      <w:rPr>
        <w:sz w:val="16"/>
        <w:szCs w:val="16"/>
      </w:rPr>
    </w:pPr>
    <w:r>
      <w:rPr>
        <w:sz w:val="16"/>
        <w:szCs w:val="16"/>
      </w:rPr>
      <w:fldChar w:fldCharType="begin"/>
    </w:r>
    <w:r>
      <w:rPr>
        <w:sz w:val="16"/>
        <w:szCs w:val="16"/>
      </w:rPr>
      <w:instrText>PAGE</w:instrText>
    </w:r>
    <w:r>
      <w:rPr>
        <w:sz w:val="16"/>
        <w:szCs w:val="16"/>
      </w:rPr>
      <w:fldChar w:fldCharType="separate"/>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F68E0" w14:textId="77777777" w:rsidR="00AE12E9" w:rsidRDefault="00C931CF">
    <w:r>
      <w:rPr>
        <w:noProof/>
        <w:color w:val="004347"/>
        <w:sz w:val="16"/>
        <w:szCs w:val="16"/>
      </w:rPr>
      <mc:AlternateContent>
        <mc:Choice Requires="wps">
          <w:drawing>
            <wp:anchor distT="0" distB="0" distL="114300" distR="114300" simplePos="0" relativeHeight="251661312" behindDoc="0" locked="0" layoutInCell="1" allowOverlap="1" wp14:anchorId="798C2770" wp14:editId="10D1FDEF">
              <wp:simplePos x="0" y="0"/>
              <wp:positionH relativeFrom="column">
                <wp:posOffset>-1843</wp:posOffset>
              </wp:positionH>
              <wp:positionV relativeFrom="paragraph">
                <wp:posOffset>127635</wp:posOffset>
              </wp:positionV>
              <wp:extent cx="3281585" cy="224590"/>
              <wp:effectExtent l="0" t="0" r="0" b="0"/>
              <wp:wrapNone/>
              <wp:docPr id="680154587" name="Zone de texte 1"/>
              <wp:cNvGraphicFramePr/>
              <a:graphic xmlns:a="http://schemas.openxmlformats.org/drawingml/2006/main">
                <a:graphicData uri="http://schemas.microsoft.com/office/word/2010/wordprocessingShape">
                  <wps:wsp>
                    <wps:cNvSpPr txBox="1"/>
                    <wps:spPr>
                      <a:xfrm>
                        <a:off x="0" y="0"/>
                        <a:ext cx="3281585" cy="224590"/>
                      </a:xfrm>
                      <a:prstGeom prst="rect">
                        <a:avLst/>
                      </a:prstGeom>
                      <a:noFill/>
                      <a:ln w="6350">
                        <a:noFill/>
                      </a:ln>
                    </wps:spPr>
                    <wps:txbx>
                      <w:txbxContent>
                        <w:p w14:paraId="0CEDA736" w14:textId="77777777" w:rsidR="00C931CF" w:rsidRPr="003518C3" w:rsidRDefault="00C931CF" w:rsidP="00C931CF">
                          <w:pPr>
                            <w:jc w:val="both"/>
                            <w:rPr>
                              <w:color w:val="001119"/>
                              <w:sz w:val="18"/>
                              <w:szCs w:val="18"/>
                              <w:lang w:val="fr-FR"/>
                            </w:rPr>
                          </w:pPr>
                          <w:r w:rsidRPr="003518C3">
                            <w:rPr>
                              <w:color w:val="001119"/>
                              <w:sz w:val="18"/>
                              <w:szCs w:val="18"/>
                              <w:lang w:val="fr-FR"/>
                            </w:rPr>
                            <w:t>Nom - Date 2024</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C2770" id="_x0000_t202" coordsize="21600,21600" o:spt="202" path="m,l,21600r21600,l21600,xe">
              <v:stroke joinstyle="miter"/>
              <v:path gradientshapeok="t" o:connecttype="rect"/>
            </v:shapetype>
            <v:shape id="_x0000_s1028" type="#_x0000_t202" style="position:absolute;margin-left:-.15pt;margin-top:10.05pt;width:258.4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gGQIAACgEAAAOAAAAZHJzL2Uyb0RvYy54bWysU01vGyEQvVfqf0Dc67U3duqsvI7cRK4q&#10;RUkkJ8oZs+BdCRgK2Lvur+/Aru0o7anqBQZmmI/3HovbTityEM43YEo6GY0pEYZD1ZhdSV9f1l/m&#10;lPjATMUUGFHSo/D0dvn506K1hcihBlUJRzCJ8UVrS1qHYIss87wWmvkRWGHQKcFpFvDodlnlWIvZ&#10;tcry8fg6a8FV1gEX3uPtfe+ky5RfSsHDk5ReBKJKir2FtLq0buOaLRes2Dlm64YPbbB/6EKzxmDR&#10;c6p7FhjZu+aPVLrhDjzIMOKgM5Cy4SLNgNNMxh+m2dTMijQLguPtGSb//9Lyx8PGPjsSum/QIYER&#10;kNb6wuNlnKeTTscdOyXoRwiPZ9hEFwjHy6t8PpnNZ5Rw9OX5dHaTcM0ur63z4bsATaJRUoe0JLTY&#10;4cEHrIihp5BYzMC6USpRowxpS3p9NRunB2cPvlAGH156jVbott0wwBaqI87loKfcW75usPgD8+GZ&#10;OeQYR0HdhidcpAIsAoNFSQ3u19/uYzxCj15KWtRMSf3PPXOCEvXDIClRYMmYzr7meHDpcDOZTvGw&#10;fe8xe30HKMkJ/g7LkxnjgzqZ0oF+Q2mvYkV0McOxbknDybwLvYrxa3CxWqUglJRl4cFsLI+pI5QR&#10;1pfujTk7YB+QtUc4KYsVHyjoY3sSVvsAskn8RHB7RAfMUY6JtuHrRL2/P6eoywdf/gYAAP//AwBQ&#10;SwMEFAAGAAgAAAAhABUuncTfAAAABwEAAA8AAABkcnMvZG93bnJldi54bWxMjkFLw0AUhO+C/2F5&#10;ghdpN2lJ0ZhNkYLoRaG1FLxts89s6u7bkN220V/v86S3GWaY+arl6J044RC7QAryaQYCqQmmo1bB&#10;9u1xcgsiJk1Gu0Co4AsjLOvLi0qXJpxpjadNagWPUCy1AptSX0oZG4tex2nokTj7CIPXie3QSjPo&#10;M497J2dZtpBed8QPVve4sth8bo5ewfP74S695C7/tgfzurrZzfvd9kmp66vx4R5EwjH9leEXn9Gh&#10;ZqZ9OJKJwimYzLmoYJblIDgu8kUBYs+iKEDWlfzPX/8AAAD//wMAUEsBAi0AFAAGAAgAAAAhALaD&#10;OJL+AAAA4QEAABMAAAAAAAAAAAAAAAAAAAAAAFtDb250ZW50X1R5cGVzXS54bWxQSwECLQAUAAYA&#10;CAAAACEAOP0h/9YAAACUAQAACwAAAAAAAAAAAAAAAAAvAQAAX3JlbHMvLnJlbHNQSwECLQAUAAYA&#10;CAAAACEA/g0PIBkCAAAoBAAADgAAAAAAAAAAAAAAAAAuAgAAZHJzL2Uyb0RvYy54bWxQSwECLQAU&#10;AAYACAAAACEAFS6dxN8AAAAHAQAADwAAAAAAAAAAAAAAAABzBAAAZHJzL2Rvd25yZXYueG1sUEsF&#10;BgAAAAAEAAQA8wAAAH8FAAAAAA==&#10;" filled="f" stroked="f" strokeweight=".5pt">
              <v:textbox inset="0">
                <w:txbxContent>
                  <w:p w14:paraId="0CEDA736" w14:textId="77777777" w:rsidR="00C931CF" w:rsidRPr="003518C3" w:rsidRDefault="00C931CF" w:rsidP="00C931CF">
                    <w:pPr>
                      <w:jc w:val="both"/>
                      <w:rPr>
                        <w:color w:val="001119"/>
                        <w:sz w:val="18"/>
                        <w:szCs w:val="18"/>
                        <w:lang w:val="fr-FR"/>
                      </w:rPr>
                    </w:pPr>
                    <w:r w:rsidRPr="003518C3">
                      <w:rPr>
                        <w:color w:val="001119"/>
                        <w:sz w:val="18"/>
                        <w:szCs w:val="18"/>
                        <w:lang w:val="fr-FR"/>
                      </w:rPr>
                      <w:t>Nom - Date 2024</w:t>
                    </w:r>
                  </w:p>
                </w:txbxContent>
              </v:textbox>
            </v:shape>
          </w:pict>
        </mc:Fallback>
      </mc:AlternateContent>
    </w:r>
    <w:r w:rsidR="00000000">
      <w:rPr>
        <w:noProof/>
      </w:rPr>
      <w:pict w14:anchorId="6307723E">
        <v:rect id="_x0000_i1025" alt="" style="width:453.6pt;height:.05pt;mso-width-percent:0;mso-height-percent:0;mso-width-percent:0;mso-height-percent:0" o:hralign="center" o:hrstd="t" o:hr="t" fillcolor="#a0a0a0" stroked="f"/>
      </w:pict>
    </w:r>
  </w:p>
  <w:p w14:paraId="38770CB4" w14:textId="77777777" w:rsidR="00AE12E9" w:rsidRDefault="00FE2FC4" w:rsidP="00C931CF">
    <w:pPr>
      <w:jc w:val="right"/>
      <w:rPr>
        <w:sz w:val="16"/>
        <w:szCs w:val="16"/>
      </w:rPr>
    </w:pPr>
    <w:r w:rsidRPr="00FE2FC4">
      <w:rPr>
        <w:color w:val="004347"/>
        <w:sz w:val="16"/>
        <w:szCs w:val="16"/>
      </w:rPr>
      <w:fldChar w:fldCharType="begin"/>
    </w:r>
    <w:r w:rsidRPr="00FE2FC4">
      <w:rPr>
        <w:color w:val="004347"/>
        <w:sz w:val="16"/>
        <w:szCs w:val="16"/>
      </w:rPr>
      <w:instrText>PAGE</w:instrText>
    </w:r>
    <w:r w:rsidRPr="00FE2FC4">
      <w:rPr>
        <w:color w:val="004347"/>
        <w:sz w:val="16"/>
        <w:szCs w:val="16"/>
      </w:rPr>
      <w:fldChar w:fldCharType="separate"/>
    </w:r>
    <w:r w:rsidR="00962A98" w:rsidRPr="00FE2FC4">
      <w:rPr>
        <w:noProof/>
        <w:color w:val="004347"/>
        <w:sz w:val="16"/>
        <w:szCs w:val="16"/>
      </w:rPr>
      <w:t>1</w:t>
    </w:r>
    <w:r w:rsidRPr="00FE2FC4">
      <w:rPr>
        <w:color w:val="00434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F5D4B4" w14:textId="77777777" w:rsidR="006A0693" w:rsidRDefault="006A0693">
      <w:pPr>
        <w:spacing w:line="240" w:lineRule="auto"/>
      </w:pPr>
      <w:r>
        <w:separator/>
      </w:r>
    </w:p>
  </w:footnote>
  <w:footnote w:type="continuationSeparator" w:id="0">
    <w:p w14:paraId="1D941400" w14:textId="77777777" w:rsidR="006A0693" w:rsidRDefault="006A0693">
      <w:pPr>
        <w:spacing w:line="240" w:lineRule="auto"/>
      </w:pPr>
      <w:r>
        <w:continuationSeparator/>
      </w:r>
    </w:p>
  </w:footnote>
  <w:footnote w:id="1">
    <w:p w14:paraId="413ED402" w14:textId="77777777" w:rsidR="00A73F7E" w:rsidRDefault="00A73F7E" w:rsidP="00A73F7E">
      <w:pPr>
        <w:pStyle w:val="Testonotaapidipagina"/>
        <w:rPr>
          <w:lang w:val="en-GB"/>
        </w:rPr>
      </w:pPr>
      <w:r>
        <w:rPr>
          <w:rStyle w:val="Rimandonotaapidipagina"/>
        </w:rPr>
        <w:footnoteRef/>
      </w:r>
      <w:hyperlink r:id="rId1" w:history="1">
        <w:r>
          <w:rPr>
            <w:rStyle w:val="Collegamentoipertestuale"/>
            <w:lang w:val="en-GB"/>
          </w:rPr>
          <w:t xml:space="preserve"> https://earthobservatory.nasa.gov/features/MeasuringVegetation/measuring_vegetation_2.php </w:t>
        </w:r>
      </w:hyperlink>
    </w:p>
  </w:footnote>
  <w:footnote w:id="2">
    <w:p w14:paraId="225819B5" w14:textId="77777777" w:rsidR="00A73F7E" w:rsidRDefault="00A73F7E" w:rsidP="00A73F7E">
      <w:pPr>
        <w:pStyle w:val="Testonotaapidipagina"/>
        <w:rPr>
          <w:lang w:val="en-GB"/>
        </w:rPr>
      </w:pPr>
      <w:r>
        <w:rPr>
          <w:rStyle w:val="Rimandonotaapidipagina"/>
        </w:rPr>
        <w:footnoteRef/>
      </w:r>
      <w:r>
        <w:rPr>
          <w:lang w:val="en-GB"/>
        </w:rPr>
        <w:t xml:space="preserve"> https://ntrs.nasa.gov/api/citations/20180000608/downloads/20180000608.pdf</w:t>
      </w:r>
    </w:p>
  </w:footnote>
  <w:footnote w:id="3">
    <w:p w14:paraId="28DF0B73" w14:textId="77777777" w:rsidR="00A73F7E" w:rsidRDefault="00A73F7E" w:rsidP="00A73F7E">
      <w:pPr>
        <w:pStyle w:val="Testonotaapidipagina"/>
        <w:rPr>
          <w:lang w:val="en-GB"/>
        </w:rPr>
      </w:pPr>
      <w:r>
        <w:rPr>
          <w:rStyle w:val="Rimandonotaapidipagina"/>
        </w:rPr>
        <w:footnoteRef/>
      </w:r>
      <w:r>
        <w:rPr>
          <w:lang w:val="en-GB"/>
        </w:rPr>
        <w:t xml:space="preserve"> https://www.weather.gov/ama/heatindex</w:t>
      </w:r>
    </w:p>
  </w:footnote>
  <w:footnote w:id="4">
    <w:p w14:paraId="0FC6F453" w14:textId="77777777" w:rsidR="00A73F7E" w:rsidRDefault="00A73F7E" w:rsidP="00A73F7E">
      <w:pPr>
        <w:pStyle w:val="Testonotaapidipagina"/>
        <w:rPr>
          <w:lang w:val="en-GB"/>
        </w:rPr>
      </w:pPr>
      <w:r>
        <w:rPr>
          <w:rStyle w:val="Rimandonotaapidipagina"/>
        </w:rPr>
        <w:footnoteRef/>
      </w:r>
      <w:r>
        <w:rPr>
          <w:lang w:val="en-GB"/>
        </w:rPr>
        <w:t xml:space="preserve"> https://www.ecmwf.int/</w:t>
      </w:r>
    </w:p>
  </w:footnote>
  <w:footnote w:id="5">
    <w:p w14:paraId="53013E55" w14:textId="77777777" w:rsidR="00A73F7E" w:rsidRDefault="00A73F7E" w:rsidP="00A73F7E">
      <w:pPr>
        <w:pStyle w:val="Testonotaapidipagina"/>
        <w:rPr>
          <w:lang w:val="en-GB"/>
        </w:rPr>
      </w:pPr>
      <w:r>
        <w:rPr>
          <w:rStyle w:val="Rimandonotaapidipagina"/>
        </w:rPr>
        <w:footnoteRef/>
      </w:r>
      <w:hyperlink r:id="rId2" w:history="1">
        <w:r>
          <w:rPr>
            <w:rStyle w:val="Collegamentoipertestuale"/>
            <w:lang w:val="en-GB"/>
          </w:rPr>
          <w:t xml:space="preserve"> https://www.fao.org/land-water/land/land-governance/land-resources-planning-toolbox/category/details/en/c/1026347/ </w:t>
        </w:r>
      </w:hyperlink>
    </w:p>
  </w:footnote>
  <w:footnote w:id="6">
    <w:p w14:paraId="71C1173F" w14:textId="77777777" w:rsidR="00A73F7E" w:rsidRDefault="00A73F7E" w:rsidP="00A73F7E">
      <w:pPr>
        <w:pStyle w:val="Testonotaapidipagina"/>
        <w:rPr>
          <w:lang w:val="en-GB"/>
        </w:rPr>
      </w:pPr>
      <w:r>
        <w:rPr>
          <w:rStyle w:val="Rimandonotaapidipagina"/>
        </w:rPr>
        <w:footnoteRef/>
      </w:r>
      <w:hyperlink r:id="rId3" w:history="1">
        <w:r>
          <w:rPr>
            <w:rStyle w:val="Collegamentoipertestuale"/>
            <w:lang w:val="en-GB"/>
          </w:rPr>
          <w:t xml:space="preserve"> https://climatescreeningtools.worldbank.org/useful-resources/agriculture </w:t>
        </w:r>
      </w:hyperlink>
    </w:p>
  </w:footnote>
  <w:footnote w:id="7">
    <w:p w14:paraId="77E58A0D" w14:textId="77777777" w:rsidR="001B24EE" w:rsidRDefault="001B24EE" w:rsidP="001B24EE">
      <w:pPr>
        <w:pStyle w:val="Testonotaapidipagina"/>
        <w:rPr>
          <w:lang w:val="en-GB"/>
        </w:rPr>
      </w:pPr>
      <w:r>
        <w:rPr>
          <w:rStyle w:val="Rimandonotaapidipagina"/>
        </w:rPr>
        <w:footnoteRef/>
      </w:r>
      <w:hyperlink r:id="rId4" w:history="1">
        <w:r>
          <w:rPr>
            <w:rStyle w:val="Collegamentoipertestuale"/>
            <w:lang w:val="en-GB"/>
          </w:rPr>
          <w:t xml:space="preserve"> https://abc-map.org/documents/ABC-Map_Guidelines.pdf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89DF2" w14:textId="77777777" w:rsidR="00AE12E9" w:rsidRDefault="00B95304">
    <w:pPr>
      <w:jc w:val="center"/>
    </w:pPr>
    <w:r>
      <w:rPr>
        <w:noProof/>
      </w:rPr>
      <mc:AlternateContent>
        <mc:Choice Requires="wps">
          <w:drawing>
            <wp:anchor distT="0" distB="0" distL="114300" distR="114300" simplePos="0" relativeHeight="251660288" behindDoc="0" locked="0" layoutInCell="1" allowOverlap="1" wp14:anchorId="3BA02B74" wp14:editId="0AAFD3F1">
              <wp:simplePos x="0" y="0"/>
              <wp:positionH relativeFrom="column">
                <wp:posOffset>-752706</wp:posOffset>
              </wp:positionH>
              <wp:positionV relativeFrom="paragraph">
                <wp:posOffset>-392661</wp:posOffset>
              </wp:positionV>
              <wp:extent cx="7614401" cy="1180407"/>
              <wp:effectExtent l="0" t="0" r="5715" b="1270"/>
              <wp:wrapNone/>
              <wp:docPr id="339379252" name="Rectangle 7"/>
              <wp:cNvGraphicFramePr/>
              <a:graphic xmlns:a="http://schemas.openxmlformats.org/drawingml/2006/main">
                <a:graphicData uri="http://schemas.microsoft.com/office/word/2010/wordprocessingShape">
                  <wps:wsp>
                    <wps:cNvSpPr/>
                    <wps:spPr>
                      <a:xfrm>
                        <a:off x="0" y="0"/>
                        <a:ext cx="7614401" cy="1180407"/>
                      </a:xfrm>
                      <a:prstGeom prst="rect">
                        <a:avLst/>
                      </a:prstGeom>
                      <a:solidFill>
                        <a:srgbClr val="00BF7F">
                          <a:alpha val="9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49C75" id="Rectangle 7" o:spid="_x0000_s1026" style="position:absolute;margin-left:-59.25pt;margin-top:-30.9pt;width:599.55pt;height:9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kdgIAAGsFAAAOAAAAZHJzL2Uyb0RvYy54bWysVF9r2zAQfx/sOwi9r7azrGlDnZK1ZAxK&#10;W9aOPiuylBhknXZS4mSffifZcbJuUBh7se90/+9+d1fXu8awrUJfgy15cZZzpqyEqrarkn9/Xny4&#10;4MwHYSthwKqS75Xn17P3765aN1UjWIOpFDJyYv20dSVfh+CmWeblWjXCn4FTloQasBGBWFxlFYqW&#10;vDcmG+X5edYCVg5BKu/p9bYT8lnyr7WS4UFrrwIzJafcQvpi+i7jN5tdiekKhVvXsk9D/EMWjagt&#10;BR1c3Yog2AbrP1w1tUTwoMOZhCYDrWupUg1UTZG/quZpLZxKtVBzvBva5P+fW3m/fXKPSG1onZ96&#10;ImMVO41N/FN+bJeatR+apXaBSXqcnBfjcV5wJklWFBf5OJ/EdmZHc4c+fFHQsEiUHGkaqUlie+dD&#10;p3pQidE8mLpa1MYkBlfLG4NsK+Lk8s+LyaKzNW4tutfLPE8DpIi+007Rf3NjbHRmIbrtInYvKmGj&#10;T+NYeqLC3qhoZew3pVldUbFFip1QqYashJTKhqIvOmlHM02hBsOPbxv2+tG0y2owHr1tPFikyGDD&#10;YNzUFvBvDsyQsu70qWsndUdyCdX+ERlCty/eyUVNI7wTPjwKpAWhVaKlDw/00QbakkNPcbYG/Pm3&#10;96hPuCUpZy0tXMn9j41AxZn5agnRlxFOtKGJGX+ajIjBU8nyVGI3zQ0QMgh/lF0io34wB1IjNC90&#10;G+YxKomElRS75DLggbkJ3SGg6yLVfJ7UaCudCHf2ycnD1CNEn3cvAl2P40ArcA+H5RTTV3DudOM8&#10;LMw3AXSdsH7sa99v2uiE1/76xJNxyiet442c/QIAAP//AwBQSwMEFAAGAAgAAAAhAHdsQDHjAAAA&#10;EgEAAA8AAABkcnMvZG93bnJldi54bWxMT8tOwzAQvCPxD9YicWttRxCiNE5VQK16bArcndgkgdiO&#10;bCcNf8/2BJfVrHZ2HsV2MQOZtQ+9swL4mgHRtnGqt62A97f9KgMSorRKDs5qAT86wLa8vSlkrtzF&#10;Vno+x5agiA25FNDFOOaUhqbTRoa1G7XF26fzRkZcfUuVlxcUNwNNGEupkb1Fh06O+qXTzfd5MgL2&#10;h6k91eb4NVan5znZffhDdXwS4v5ued3g2G2ARL3Evw+4dsD8UGKw2k1WBTIIWHGePSIXUcqxyZXC&#10;MpYCqRElDxxoWdD/VcpfAAAA//8DAFBLAQItABQABgAIAAAAIQC2gziS/gAAAOEBAAATAAAAAAAA&#10;AAAAAAAAAAAAAABbQ29udGVudF9UeXBlc10ueG1sUEsBAi0AFAAGAAgAAAAhADj9If/WAAAAlAEA&#10;AAsAAAAAAAAAAAAAAAAALwEAAF9yZWxzLy5yZWxzUEsBAi0AFAAGAAgAAAAhAH7rKSR2AgAAawUA&#10;AA4AAAAAAAAAAAAAAAAALgIAAGRycy9lMm9Eb2MueG1sUEsBAi0AFAAGAAgAAAAhAHdsQDHjAAAA&#10;EgEAAA8AAAAAAAAAAAAAAAAA0AQAAGRycy9kb3ducmV2LnhtbFBLBQYAAAAABAAEAPMAAADgBQAA&#10;AAA=&#10;" fillcolor="#00bf7f" stroked="f" strokeweight=".5pt">
              <v:fill opacity="5911f"/>
            </v:rect>
          </w:pict>
        </mc:Fallback>
      </mc:AlternateContent>
    </w:r>
    <w:r>
      <w:rPr>
        <w:noProof/>
      </w:rPr>
      <w:drawing>
        <wp:inline distT="114300" distB="114300" distL="114300" distR="114300" wp14:anchorId="16626D04" wp14:editId="58FCE939">
          <wp:extent cx="1137846" cy="509588"/>
          <wp:effectExtent l="0" t="0" r="0" b="0"/>
          <wp:docPr id="14553239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846" cy="5095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06D81"/>
    <w:multiLevelType w:val="hybridMultilevel"/>
    <w:tmpl w:val="A6C431C4"/>
    <w:lvl w:ilvl="0" w:tplc="86C0131A">
      <w:start w:val="1"/>
      <w:numFmt w:val="bullet"/>
      <w:lvlText w:val=""/>
      <w:lvlJc w:val="left"/>
      <w:pPr>
        <w:ind w:left="720" w:hanging="360"/>
      </w:pPr>
      <w:rPr>
        <w:rFonts w:ascii="Symbol" w:hAnsi="Symbol" w:hint="default"/>
        <w:color w:val="auto"/>
      </w:rPr>
    </w:lvl>
    <w:lvl w:ilvl="1" w:tplc="A1A2705E">
      <w:numFmt w:val="bullet"/>
      <w:lvlText w:val="-"/>
      <w:lvlJc w:val="left"/>
      <w:pPr>
        <w:ind w:left="1440" w:hanging="360"/>
      </w:pPr>
      <w:rPr>
        <w:rFonts w:ascii="Calibri" w:eastAsiaTheme="minorHAnsi" w:hAnsi="Calibri" w:cs="Calibri"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7C813AE"/>
    <w:multiLevelType w:val="hybridMultilevel"/>
    <w:tmpl w:val="776001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8F53428"/>
    <w:multiLevelType w:val="hybridMultilevel"/>
    <w:tmpl w:val="AD82C39E"/>
    <w:lvl w:ilvl="0" w:tplc="50B8FD94">
      <w:start w:val="2"/>
      <w:numFmt w:val="bullet"/>
      <w:lvlText w:val="-"/>
      <w:lvlJc w:val="left"/>
      <w:pPr>
        <w:ind w:left="720" w:hanging="360"/>
      </w:pPr>
      <w:rPr>
        <w:rFonts w:ascii="Arial" w:eastAsia="Arial"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58E49C9"/>
    <w:multiLevelType w:val="hybridMultilevel"/>
    <w:tmpl w:val="F0BE4F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8B81FA2"/>
    <w:multiLevelType w:val="hybridMultilevel"/>
    <w:tmpl w:val="83DE793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0CA0994"/>
    <w:multiLevelType w:val="hybridMultilevel"/>
    <w:tmpl w:val="EE04AEE6"/>
    <w:lvl w:ilvl="0" w:tplc="4E9AFDF2">
      <w:numFmt w:val="bullet"/>
      <w:lvlText w:val="•"/>
      <w:lvlJc w:val="left"/>
      <w:pPr>
        <w:ind w:left="1080" w:hanging="72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C086D19"/>
    <w:multiLevelType w:val="hybridMultilevel"/>
    <w:tmpl w:val="71E4D6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C735F36"/>
    <w:multiLevelType w:val="hybridMultilevel"/>
    <w:tmpl w:val="D73253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60C41296"/>
    <w:multiLevelType w:val="hybridMultilevel"/>
    <w:tmpl w:val="D1C2A41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62523284"/>
    <w:multiLevelType w:val="hybridMultilevel"/>
    <w:tmpl w:val="728CE752"/>
    <w:lvl w:ilvl="0" w:tplc="21C02652">
      <w:start w:val="1"/>
      <w:numFmt w:val="decimal"/>
      <w:lvlText w:val="%1."/>
      <w:lvlJc w:val="left"/>
      <w:pPr>
        <w:ind w:left="1004" w:hanging="72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0" w15:restartNumberingAfterBreak="0">
    <w:nsid w:val="640F650E"/>
    <w:multiLevelType w:val="hybridMultilevel"/>
    <w:tmpl w:val="3250B524"/>
    <w:lvl w:ilvl="0" w:tplc="4E9AFDF2">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B6A0358"/>
    <w:multiLevelType w:val="hybridMultilevel"/>
    <w:tmpl w:val="0A246D6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8C15335"/>
    <w:multiLevelType w:val="hybridMultilevel"/>
    <w:tmpl w:val="BC2464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AAC5F50"/>
    <w:multiLevelType w:val="hybridMultilevel"/>
    <w:tmpl w:val="A9E2DB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5422063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01650668">
    <w:abstractNumId w:val="9"/>
  </w:num>
  <w:num w:numId="3" w16cid:durableId="967668108">
    <w:abstractNumId w:val="7"/>
    <w:lvlOverride w:ilvl="0"/>
    <w:lvlOverride w:ilvl="1"/>
    <w:lvlOverride w:ilvl="2"/>
    <w:lvlOverride w:ilvl="3"/>
    <w:lvlOverride w:ilvl="4"/>
    <w:lvlOverride w:ilvl="5"/>
    <w:lvlOverride w:ilvl="6"/>
    <w:lvlOverride w:ilvl="7"/>
    <w:lvlOverride w:ilvl="8"/>
  </w:num>
  <w:num w:numId="4" w16cid:durableId="1181969055">
    <w:abstractNumId w:val="1"/>
    <w:lvlOverride w:ilvl="0"/>
    <w:lvlOverride w:ilvl="1"/>
    <w:lvlOverride w:ilvl="2"/>
    <w:lvlOverride w:ilvl="3"/>
    <w:lvlOverride w:ilvl="4"/>
    <w:lvlOverride w:ilvl="5"/>
    <w:lvlOverride w:ilvl="6"/>
    <w:lvlOverride w:ilvl="7"/>
    <w:lvlOverride w:ilvl="8"/>
  </w:num>
  <w:num w:numId="5" w16cid:durableId="199978896">
    <w:abstractNumId w:val="3"/>
  </w:num>
  <w:num w:numId="6" w16cid:durableId="1512838255">
    <w:abstractNumId w:val="5"/>
  </w:num>
  <w:num w:numId="7" w16cid:durableId="1177648470">
    <w:abstractNumId w:val="2"/>
  </w:num>
  <w:num w:numId="8" w16cid:durableId="1402364954">
    <w:abstractNumId w:val="0"/>
    <w:lvlOverride w:ilvl="0"/>
    <w:lvlOverride w:ilvl="1"/>
    <w:lvlOverride w:ilvl="2"/>
    <w:lvlOverride w:ilvl="3"/>
    <w:lvlOverride w:ilvl="4"/>
    <w:lvlOverride w:ilvl="5"/>
    <w:lvlOverride w:ilvl="6"/>
    <w:lvlOverride w:ilvl="7"/>
    <w:lvlOverride w:ilvl="8"/>
  </w:num>
  <w:num w:numId="9" w16cid:durableId="1530407760">
    <w:abstractNumId w:val="10"/>
  </w:num>
  <w:num w:numId="10" w16cid:durableId="1448086343">
    <w:abstractNumId w:val="6"/>
  </w:num>
  <w:num w:numId="11" w16cid:durableId="1153836773">
    <w:abstractNumId w:val="11"/>
  </w:num>
  <w:num w:numId="12" w16cid:durableId="2001033980">
    <w:abstractNumId w:val="4"/>
  </w:num>
  <w:num w:numId="13" w16cid:durableId="545531669">
    <w:abstractNumId w:val="12"/>
  </w:num>
  <w:num w:numId="14" w16cid:durableId="942960495">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2E9"/>
    <w:rsid w:val="001B24EE"/>
    <w:rsid w:val="00305049"/>
    <w:rsid w:val="003518C3"/>
    <w:rsid w:val="0063517F"/>
    <w:rsid w:val="0064286B"/>
    <w:rsid w:val="00652A1B"/>
    <w:rsid w:val="006576DE"/>
    <w:rsid w:val="00694A5D"/>
    <w:rsid w:val="006A0693"/>
    <w:rsid w:val="006F3FA1"/>
    <w:rsid w:val="0071766C"/>
    <w:rsid w:val="00962A98"/>
    <w:rsid w:val="00997836"/>
    <w:rsid w:val="00A73F7E"/>
    <w:rsid w:val="00AA7DDA"/>
    <w:rsid w:val="00AE12E9"/>
    <w:rsid w:val="00B12CAE"/>
    <w:rsid w:val="00B34C9C"/>
    <w:rsid w:val="00B95304"/>
    <w:rsid w:val="00C00E44"/>
    <w:rsid w:val="00C931CF"/>
    <w:rsid w:val="00CB6692"/>
    <w:rsid w:val="00CD6409"/>
    <w:rsid w:val="00D34846"/>
    <w:rsid w:val="00E22AE9"/>
    <w:rsid w:val="00EE5A87"/>
    <w:rsid w:val="00F5608E"/>
    <w:rsid w:val="00FE2FC4"/>
    <w:rsid w:val="00FE7F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3280B"/>
  <w15:docId w15:val="{90F37401-6FA4-F247-A4D6-52E8BFFF4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line="240" w:lineRule="auto"/>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160" w:line="259" w:lineRule="auto"/>
    </w:pPr>
    <w:rPr>
      <w:rFonts w:ascii="Verdana" w:eastAsia="Verdana" w:hAnsi="Verdana" w:cs="Verdana"/>
      <w:b/>
      <w:color w:val="0E326F"/>
      <w:sz w:val="28"/>
      <w:szCs w:val="28"/>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B34C9C"/>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B34C9C"/>
  </w:style>
  <w:style w:type="paragraph" w:styleId="Pidipagina">
    <w:name w:val="footer"/>
    <w:basedOn w:val="Normale"/>
    <w:link w:val="PidipaginaCarattere"/>
    <w:uiPriority w:val="99"/>
    <w:unhideWhenUsed/>
    <w:rsid w:val="00B34C9C"/>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B34C9C"/>
  </w:style>
  <w:style w:type="paragraph" w:styleId="Paragrafoelenco">
    <w:name w:val="List Paragraph"/>
    <w:basedOn w:val="Normale"/>
    <w:uiPriority w:val="34"/>
    <w:qFormat/>
    <w:rsid w:val="0063517F"/>
    <w:pPr>
      <w:ind w:left="720"/>
      <w:contextualSpacing/>
    </w:pPr>
  </w:style>
  <w:style w:type="character" w:styleId="Collegamentoipertestuale">
    <w:name w:val="Hyperlink"/>
    <w:basedOn w:val="Carpredefinitoparagrafo"/>
    <w:uiPriority w:val="99"/>
    <w:semiHidden/>
    <w:unhideWhenUsed/>
    <w:rsid w:val="00A73F7E"/>
    <w:rPr>
      <w:color w:val="0563C1" w:themeColor="hyperlink"/>
      <w:u w:val="single"/>
    </w:rPr>
  </w:style>
  <w:style w:type="paragraph" w:styleId="Testonotaapidipagina">
    <w:name w:val="footnote text"/>
    <w:basedOn w:val="Normale"/>
    <w:link w:val="TestonotaapidipaginaCarattere"/>
    <w:uiPriority w:val="99"/>
    <w:semiHidden/>
    <w:unhideWhenUsed/>
    <w:rsid w:val="00A73F7E"/>
    <w:pPr>
      <w:spacing w:line="240" w:lineRule="auto"/>
    </w:pPr>
    <w:rPr>
      <w:rFonts w:asciiTheme="minorHAnsi" w:eastAsiaTheme="minorHAnsi" w:hAnsiTheme="minorHAnsi" w:cstheme="minorBidi"/>
      <w:color w:val="595959" w:themeColor="text1" w:themeTint="A6"/>
      <w:sz w:val="20"/>
      <w:szCs w:val="20"/>
      <w:lang w:val="en-US" w:eastAsia="en-US"/>
    </w:rPr>
  </w:style>
  <w:style w:type="character" w:customStyle="1" w:styleId="TestonotaapidipaginaCarattere">
    <w:name w:val="Testo nota a piè di pagina Carattere"/>
    <w:basedOn w:val="Carpredefinitoparagrafo"/>
    <w:link w:val="Testonotaapidipagina"/>
    <w:uiPriority w:val="99"/>
    <w:semiHidden/>
    <w:rsid w:val="00A73F7E"/>
    <w:rPr>
      <w:rFonts w:asciiTheme="minorHAnsi" w:eastAsiaTheme="minorHAnsi" w:hAnsiTheme="minorHAnsi" w:cstheme="minorBidi"/>
      <w:color w:val="595959" w:themeColor="text1" w:themeTint="A6"/>
      <w:sz w:val="20"/>
      <w:szCs w:val="20"/>
      <w:lang w:val="en-US" w:eastAsia="en-US"/>
    </w:rPr>
  </w:style>
  <w:style w:type="character" w:styleId="Rimandonotaapidipagina">
    <w:name w:val="footnote reference"/>
    <w:basedOn w:val="Carpredefinitoparagrafo"/>
    <w:uiPriority w:val="99"/>
    <w:semiHidden/>
    <w:unhideWhenUsed/>
    <w:rsid w:val="00A73F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509">
      <w:bodyDiv w:val="1"/>
      <w:marLeft w:val="0"/>
      <w:marRight w:val="0"/>
      <w:marTop w:val="0"/>
      <w:marBottom w:val="0"/>
      <w:divBdr>
        <w:top w:val="none" w:sz="0" w:space="0" w:color="auto"/>
        <w:left w:val="none" w:sz="0" w:space="0" w:color="auto"/>
        <w:bottom w:val="none" w:sz="0" w:space="0" w:color="auto"/>
        <w:right w:val="none" w:sz="0" w:space="0" w:color="auto"/>
      </w:divBdr>
    </w:div>
    <w:div w:id="66533347">
      <w:bodyDiv w:val="1"/>
      <w:marLeft w:val="0"/>
      <w:marRight w:val="0"/>
      <w:marTop w:val="0"/>
      <w:marBottom w:val="0"/>
      <w:divBdr>
        <w:top w:val="none" w:sz="0" w:space="0" w:color="auto"/>
        <w:left w:val="none" w:sz="0" w:space="0" w:color="auto"/>
        <w:bottom w:val="none" w:sz="0" w:space="0" w:color="auto"/>
        <w:right w:val="none" w:sz="0" w:space="0" w:color="auto"/>
      </w:divBdr>
    </w:div>
    <w:div w:id="116488136">
      <w:bodyDiv w:val="1"/>
      <w:marLeft w:val="0"/>
      <w:marRight w:val="0"/>
      <w:marTop w:val="0"/>
      <w:marBottom w:val="0"/>
      <w:divBdr>
        <w:top w:val="none" w:sz="0" w:space="0" w:color="auto"/>
        <w:left w:val="none" w:sz="0" w:space="0" w:color="auto"/>
        <w:bottom w:val="none" w:sz="0" w:space="0" w:color="auto"/>
        <w:right w:val="none" w:sz="0" w:space="0" w:color="auto"/>
      </w:divBdr>
    </w:div>
    <w:div w:id="151264006">
      <w:bodyDiv w:val="1"/>
      <w:marLeft w:val="0"/>
      <w:marRight w:val="0"/>
      <w:marTop w:val="0"/>
      <w:marBottom w:val="0"/>
      <w:divBdr>
        <w:top w:val="none" w:sz="0" w:space="0" w:color="auto"/>
        <w:left w:val="none" w:sz="0" w:space="0" w:color="auto"/>
        <w:bottom w:val="none" w:sz="0" w:space="0" w:color="auto"/>
        <w:right w:val="none" w:sz="0" w:space="0" w:color="auto"/>
      </w:divBdr>
    </w:div>
    <w:div w:id="171379537">
      <w:bodyDiv w:val="1"/>
      <w:marLeft w:val="0"/>
      <w:marRight w:val="0"/>
      <w:marTop w:val="0"/>
      <w:marBottom w:val="0"/>
      <w:divBdr>
        <w:top w:val="none" w:sz="0" w:space="0" w:color="auto"/>
        <w:left w:val="none" w:sz="0" w:space="0" w:color="auto"/>
        <w:bottom w:val="none" w:sz="0" w:space="0" w:color="auto"/>
        <w:right w:val="none" w:sz="0" w:space="0" w:color="auto"/>
      </w:divBdr>
    </w:div>
    <w:div w:id="174853848">
      <w:bodyDiv w:val="1"/>
      <w:marLeft w:val="0"/>
      <w:marRight w:val="0"/>
      <w:marTop w:val="0"/>
      <w:marBottom w:val="0"/>
      <w:divBdr>
        <w:top w:val="none" w:sz="0" w:space="0" w:color="auto"/>
        <w:left w:val="none" w:sz="0" w:space="0" w:color="auto"/>
        <w:bottom w:val="none" w:sz="0" w:space="0" w:color="auto"/>
        <w:right w:val="none" w:sz="0" w:space="0" w:color="auto"/>
      </w:divBdr>
    </w:div>
    <w:div w:id="175968918">
      <w:bodyDiv w:val="1"/>
      <w:marLeft w:val="0"/>
      <w:marRight w:val="0"/>
      <w:marTop w:val="0"/>
      <w:marBottom w:val="0"/>
      <w:divBdr>
        <w:top w:val="none" w:sz="0" w:space="0" w:color="auto"/>
        <w:left w:val="none" w:sz="0" w:space="0" w:color="auto"/>
        <w:bottom w:val="none" w:sz="0" w:space="0" w:color="auto"/>
        <w:right w:val="none" w:sz="0" w:space="0" w:color="auto"/>
      </w:divBdr>
    </w:div>
    <w:div w:id="184902592">
      <w:bodyDiv w:val="1"/>
      <w:marLeft w:val="0"/>
      <w:marRight w:val="0"/>
      <w:marTop w:val="0"/>
      <w:marBottom w:val="0"/>
      <w:divBdr>
        <w:top w:val="none" w:sz="0" w:space="0" w:color="auto"/>
        <w:left w:val="none" w:sz="0" w:space="0" w:color="auto"/>
        <w:bottom w:val="none" w:sz="0" w:space="0" w:color="auto"/>
        <w:right w:val="none" w:sz="0" w:space="0" w:color="auto"/>
      </w:divBdr>
    </w:div>
    <w:div w:id="190844240">
      <w:bodyDiv w:val="1"/>
      <w:marLeft w:val="0"/>
      <w:marRight w:val="0"/>
      <w:marTop w:val="0"/>
      <w:marBottom w:val="0"/>
      <w:divBdr>
        <w:top w:val="none" w:sz="0" w:space="0" w:color="auto"/>
        <w:left w:val="none" w:sz="0" w:space="0" w:color="auto"/>
        <w:bottom w:val="none" w:sz="0" w:space="0" w:color="auto"/>
        <w:right w:val="none" w:sz="0" w:space="0" w:color="auto"/>
      </w:divBdr>
    </w:div>
    <w:div w:id="210193790">
      <w:bodyDiv w:val="1"/>
      <w:marLeft w:val="0"/>
      <w:marRight w:val="0"/>
      <w:marTop w:val="0"/>
      <w:marBottom w:val="0"/>
      <w:divBdr>
        <w:top w:val="none" w:sz="0" w:space="0" w:color="auto"/>
        <w:left w:val="none" w:sz="0" w:space="0" w:color="auto"/>
        <w:bottom w:val="none" w:sz="0" w:space="0" w:color="auto"/>
        <w:right w:val="none" w:sz="0" w:space="0" w:color="auto"/>
      </w:divBdr>
    </w:div>
    <w:div w:id="222181361">
      <w:bodyDiv w:val="1"/>
      <w:marLeft w:val="0"/>
      <w:marRight w:val="0"/>
      <w:marTop w:val="0"/>
      <w:marBottom w:val="0"/>
      <w:divBdr>
        <w:top w:val="none" w:sz="0" w:space="0" w:color="auto"/>
        <w:left w:val="none" w:sz="0" w:space="0" w:color="auto"/>
        <w:bottom w:val="none" w:sz="0" w:space="0" w:color="auto"/>
        <w:right w:val="none" w:sz="0" w:space="0" w:color="auto"/>
      </w:divBdr>
    </w:div>
    <w:div w:id="291373989">
      <w:bodyDiv w:val="1"/>
      <w:marLeft w:val="0"/>
      <w:marRight w:val="0"/>
      <w:marTop w:val="0"/>
      <w:marBottom w:val="0"/>
      <w:divBdr>
        <w:top w:val="none" w:sz="0" w:space="0" w:color="auto"/>
        <w:left w:val="none" w:sz="0" w:space="0" w:color="auto"/>
        <w:bottom w:val="none" w:sz="0" w:space="0" w:color="auto"/>
        <w:right w:val="none" w:sz="0" w:space="0" w:color="auto"/>
      </w:divBdr>
    </w:div>
    <w:div w:id="293222319">
      <w:bodyDiv w:val="1"/>
      <w:marLeft w:val="0"/>
      <w:marRight w:val="0"/>
      <w:marTop w:val="0"/>
      <w:marBottom w:val="0"/>
      <w:divBdr>
        <w:top w:val="none" w:sz="0" w:space="0" w:color="auto"/>
        <w:left w:val="none" w:sz="0" w:space="0" w:color="auto"/>
        <w:bottom w:val="none" w:sz="0" w:space="0" w:color="auto"/>
        <w:right w:val="none" w:sz="0" w:space="0" w:color="auto"/>
      </w:divBdr>
    </w:div>
    <w:div w:id="302083290">
      <w:bodyDiv w:val="1"/>
      <w:marLeft w:val="0"/>
      <w:marRight w:val="0"/>
      <w:marTop w:val="0"/>
      <w:marBottom w:val="0"/>
      <w:divBdr>
        <w:top w:val="none" w:sz="0" w:space="0" w:color="auto"/>
        <w:left w:val="none" w:sz="0" w:space="0" w:color="auto"/>
        <w:bottom w:val="none" w:sz="0" w:space="0" w:color="auto"/>
        <w:right w:val="none" w:sz="0" w:space="0" w:color="auto"/>
      </w:divBdr>
    </w:div>
    <w:div w:id="329791752">
      <w:bodyDiv w:val="1"/>
      <w:marLeft w:val="0"/>
      <w:marRight w:val="0"/>
      <w:marTop w:val="0"/>
      <w:marBottom w:val="0"/>
      <w:divBdr>
        <w:top w:val="none" w:sz="0" w:space="0" w:color="auto"/>
        <w:left w:val="none" w:sz="0" w:space="0" w:color="auto"/>
        <w:bottom w:val="none" w:sz="0" w:space="0" w:color="auto"/>
        <w:right w:val="none" w:sz="0" w:space="0" w:color="auto"/>
      </w:divBdr>
    </w:div>
    <w:div w:id="382796301">
      <w:bodyDiv w:val="1"/>
      <w:marLeft w:val="0"/>
      <w:marRight w:val="0"/>
      <w:marTop w:val="0"/>
      <w:marBottom w:val="0"/>
      <w:divBdr>
        <w:top w:val="none" w:sz="0" w:space="0" w:color="auto"/>
        <w:left w:val="none" w:sz="0" w:space="0" w:color="auto"/>
        <w:bottom w:val="none" w:sz="0" w:space="0" w:color="auto"/>
        <w:right w:val="none" w:sz="0" w:space="0" w:color="auto"/>
      </w:divBdr>
    </w:div>
    <w:div w:id="424039853">
      <w:bodyDiv w:val="1"/>
      <w:marLeft w:val="0"/>
      <w:marRight w:val="0"/>
      <w:marTop w:val="0"/>
      <w:marBottom w:val="0"/>
      <w:divBdr>
        <w:top w:val="none" w:sz="0" w:space="0" w:color="auto"/>
        <w:left w:val="none" w:sz="0" w:space="0" w:color="auto"/>
        <w:bottom w:val="none" w:sz="0" w:space="0" w:color="auto"/>
        <w:right w:val="none" w:sz="0" w:space="0" w:color="auto"/>
      </w:divBdr>
    </w:div>
    <w:div w:id="442266211">
      <w:bodyDiv w:val="1"/>
      <w:marLeft w:val="0"/>
      <w:marRight w:val="0"/>
      <w:marTop w:val="0"/>
      <w:marBottom w:val="0"/>
      <w:divBdr>
        <w:top w:val="none" w:sz="0" w:space="0" w:color="auto"/>
        <w:left w:val="none" w:sz="0" w:space="0" w:color="auto"/>
        <w:bottom w:val="none" w:sz="0" w:space="0" w:color="auto"/>
        <w:right w:val="none" w:sz="0" w:space="0" w:color="auto"/>
      </w:divBdr>
    </w:div>
    <w:div w:id="445076521">
      <w:bodyDiv w:val="1"/>
      <w:marLeft w:val="0"/>
      <w:marRight w:val="0"/>
      <w:marTop w:val="0"/>
      <w:marBottom w:val="0"/>
      <w:divBdr>
        <w:top w:val="none" w:sz="0" w:space="0" w:color="auto"/>
        <w:left w:val="none" w:sz="0" w:space="0" w:color="auto"/>
        <w:bottom w:val="none" w:sz="0" w:space="0" w:color="auto"/>
        <w:right w:val="none" w:sz="0" w:space="0" w:color="auto"/>
      </w:divBdr>
    </w:div>
    <w:div w:id="525217651">
      <w:bodyDiv w:val="1"/>
      <w:marLeft w:val="0"/>
      <w:marRight w:val="0"/>
      <w:marTop w:val="0"/>
      <w:marBottom w:val="0"/>
      <w:divBdr>
        <w:top w:val="none" w:sz="0" w:space="0" w:color="auto"/>
        <w:left w:val="none" w:sz="0" w:space="0" w:color="auto"/>
        <w:bottom w:val="none" w:sz="0" w:space="0" w:color="auto"/>
        <w:right w:val="none" w:sz="0" w:space="0" w:color="auto"/>
      </w:divBdr>
    </w:div>
    <w:div w:id="533464332">
      <w:bodyDiv w:val="1"/>
      <w:marLeft w:val="0"/>
      <w:marRight w:val="0"/>
      <w:marTop w:val="0"/>
      <w:marBottom w:val="0"/>
      <w:divBdr>
        <w:top w:val="none" w:sz="0" w:space="0" w:color="auto"/>
        <w:left w:val="none" w:sz="0" w:space="0" w:color="auto"/>
        <w:bottom w:val="none" w:sz="0" w:space="0" w:color="auto"/>
        <w:right w:val="none" w:sz="0" w:space="0" w:color="auto"/>
      </w:divBdr>
    </w:div>
    <w:div w:id="581646636">
      <w:bodyDiv w:val="1"/>
      <w:marLeft w:val="0"/>
      <w:marRight w:val="0"/>
      <w:marTop w:val="0"/>
      <w:marBottom w:val="0"/>
      <w:divBdr>
        <w:top w:val="none" w:sz="0" w:space="0" w:color="auto"/>
        <w:left w:val="none" w:sz="0" w:space="0" w:color="auto"/>
        <w:bottom w:val="none" w:sz="0" w:space="0" w:color="auto"/>
        <w:right w:val="none" w:sz="0" w:space="0" w:color="auto"/>
      </w:divBdr>
    </w:div>
    <w:div w:id="610667101">
      <w:bodyDiv w:val="1"/>
      <w:marLeft w:val="0"/>
      <w:marRight w:val="0"/>
      <w:marTop w:val="0"/>
      <w:marBottom w:val="0"/>
      <w:divBdr>
        <w:top w:val="none" w:sz="0" w:space="0" w:color="auto"/>
        <w:left w:val="none" w:sz="0" w:space="0" w:color="auto"/>
        <w:bottom w:val="none" w:sz="0" w:space="0" w:color="auto"/>
        <w:right w:val="none" w:sz="0" w:space="0" w:color="auto"/>
      </w:divBdr>
    </w:div>
    <w:div w:id="614598450">
      <w:bodyDiv w:val="1"/>
      <w:marLeft w:val="0"/>
      <w:marRight w:val="0"/>
      <w:marTop w:val="0"/>
      <w:marBottom w:val="0"/>
      <w:divBdr>
        <w:top w:val="none" w:sz="0" w:space="0" w:color="auto"/>
        <w:left w:val="none" w:sz="0" w:space="0" w:color="auto"/>
        <w:bottom w:val="none" w:sz="0" w:space="0" w:color="auto"/>
        <w:right w:val="none" w:sz="0" w:space="0" w:color="auto"/>
      </w:divBdr>
    </w:div>
    <w:div w:id="735057839">
      <w:bodyDiv w:val="1"/>
      <w:marLeft w:val="0"/>
      <w:marRight w:val="0"/>
      <w:marTop w:val="0"/>
      <w:marBottom w:val="0"/>
      <w:divBdr>
        <w:top w:val="none" w:sz="0" w:space="0" w:color="auto"/>
        <w:left w:val="none" w:sz="0" w:space="0" w:color="auto"/>
        <w:bottom w:val="none" w:sz="0" w:space="0" w:color="auto"/>
        <w:right w:val="none" w:sz="0" w:space="0" w:color="auto"/>
      </w:divBdr>
    </w:div>
    <w:div w:id="740758141">
      <w:bodyDiv w:val="1"/>
      <w:marLeft w:val="0"/>
      <w:marRight w:val="0"/>
      <w:marTop w:val="0"/>
      <w:marBottom w:val="0"/>
      <w:divBdr>
        <w:top w:val="none" w:sz="0" w:space="0" w:color="auto"/>
        <w:left w:val="none" w:sz="0" w:space="0" w:color="auto"/>
        <w:bottom w:val="none" w:sz="0" w:space="0" w:color="auto"/>
        <w:right w:val="none" w:sz="0" w:space="0" w:color="auto"/>
      </w:divBdr>
    </w:div>
    <w:div w:id="766460752">
      <w:bodyDiv w:val="1"/>
      <w:marLeft w:val="0"/>
      <w:marRight w:val="0"/>
      <w:marTop w:val="0"/>
      <w:marBottom w:val="0"/>
      <w:divBdr>
        <w:top w:val="none" w:sz="0" w:space="0" w:color="auto"/>
        <w:left w:val="none" w:sz="0" w:space="0" w:color="auto"/>
        <w:bottom w:val="none" w:sz="0" w:space="0" w:color="auto"/>
        <w:right w:val="none" w:sz="0" w:space="0" w:color="auto"/>
      </w:divBdr>
    </w:div>
    <w:div w:id="791945194">
      <w:bodyDiv w:val="1"/>
      <w:marLeft w:val="0"/>
      <w:marRight w:val="0"/>
      <w:marTop w:val="0"/>
      <w:marBottom w:val="0"/>
      <w:divBdr>
        <w:top w:val="none" w:sz="0" w:space="0" w:color="auto"/>
        <w:left w:val="none" w:sz="0" w:space="0" w:color="auto"/>
        <w:bottom w:val="none" w:sz="0" w:space="0" w:color="auto"/>
        <w:right w:val="none" w:sz="0" w:space="0" w:color="auto"/>
      </w:divBdr>
    </w:div>
    <w:div w:id="825584691">
      <w:bodyDiv w:val="1"/>
      <w:marLeft w:val="0"/>
      <w:marRight w:val="0"/>
      <w:marTop w:val="0"/>
      <w:marBottom w:val="0"/>
      <w:divBdr>
        <w:top w:val="none" w:sz="0" w:space="0" w:color="auto"/>
        <w:left w:val="none" w:sz="0" w:space="0" w:color="auto"/>
        <w:bottom w:val="none" w:sz="0" w:space="0" w:color="auto"/>
        <w:right w:val="none" w:sz="0" w:space="0" w:color="auto"/>
      </w:divBdr>
    </w:div>
    <w:div w:id="830949184">
      <w:bodyDiv w:val="1"/>
      <w:marLeft w:val="0"/>
      <w:marRight w:val="0"/>
      <w:marTop w:val="0"/>
      <w:marBottom w:val="0"/>
      <w:divBdr>
        <w:top w:val="none" w:sz="0" w:space="0" w:color="auto"/>
        <w:left w:val="none" w:sz="0" w:space="0" w:color="auto"/>
        <w:bottom w:val="none" w:sz="0" w:space="0" w:color="auto"/>
        <w:right w:val="none" w:sz="0" w:space="0" w:color="auto"/>
      </w:divBdr>
    </w:div>
    <w:div w:id="837770759">
      <w:bodyDiv w:val="1"/>
      <w:marLeft w:val="0"/>
      <w:marRight w:val="0"/>
      <w:marTop w:val="0"/>
      <w:marBottom w:val="0"/>
      <w:divBdr>
        <w:top w:val="none" w:sz="0" w:space="0" w:color="auto"/>
        <w:left w:val="none" w:sz="0" w:space="0" w:color="auto"/>
        <w:bottom w:val="none" w:sz="0" w:space="0" w:color="auto"/>
        <w:right w:val="none" w:sz="0" w:space="0" w:color="auto"/>
      </w:divBdr>
    </w:div>
    <w:div w:id="869998579">
      <w:bodyDiv w:val="1"/>
      <w:marLeft w:val="0"/>
      <w:marRight w:val="0"/>
      <w:marTop w:val="0"/>
      <w:marBottom w:val="0"/>
      <w:divBdr>
        <w:top w:val="none" w:sz="0" w:space="0" w:color="auto"/>
        <w:left w:val="none" w:sz="0" w:space="0" w:color="auto"/>
        <w:bottom w:val="none" w:sz="0" w:space="0" w:color="auto"/>
        <w:right w:val="none" w:sz="0" w:space="0" w:color="auto"/>
      </w:divBdr>
    </w:div>
    <w:div w:id="874385353">
      <w:bodyDiv w:val="1"/>
      <w:marLeft w:val="0"/>
      <w:marRight w:val="0"/>
      <w:marTop w:val="0"/>
      <w:marBottom w:val="0"/>
      <w:divBdr>
        <w:top w:val="none" w:sz="0" w:space="0" w:color="auto"/>
        <w:left w:val="none" w:sz="0" w:space="0" w:color="auto"/>
        <w:bottom w:val="none" w:sz="0" w:space="0" w:color="auto"/>
        <w:right w:val="none" w:sz="0" w:space="0" w:color="auto"/>
      </w:divBdr>
    </w:div>
    <w:div w:id="908466521">
      <w:bodyDiv w:val="1"/>
      <w:marLeft w:val="0"/>
      <w:marRight w:val="0"/>
      <w:marTop w:val="0"/>
      <w:marBottom w:val="0"/>
      <w:divBdr>
        <w:top w:val="none" w:sz="0" w:space="0" w:color="auto"/>
        <w:left w:val="none" w:sz="0" w:space="0" w:color="auto"/>
        <w:bottom w:val="none" w:sz="0" w:space="0" w:color="auto"/>
        <w:right w:val="none" w:sz="0" w:space="0" w:color="auto"/>
      </w:divBdr>
    </w:div>
    <w:div w:id="915630704">
      <w:bodyDiv w:val="1"/>
      <w:marLeft w:val="0"/>
      <w:marRight w:val="0"/>
      <w:marTop w:val="0"/>
      <w:marBottom w:val="0"/>
      <w:divBdr>
        <w:top w:val="none" w:sz="0" w:space="0" w:color="auto"/>
        <w:left w:val="none" w:sz="0" w:space="0" w:color="auto"/>
        <w:bottom w:val="none" w:sz="0" w:space="0" w:color="auto"/>
        <w:right w:val="none" w:sz="0" w:space="0" w:color="auto"/>
      </w:divBdr>
    </w:div>
    <w:div w:id="930117647">
      <w:bodyDiv w:val="1"/>
      <w:marLeft w:val="0"/>
      <w:marRight w:val="0"/>
      <w:marTop w:val="0"/>
      <w:marBottom w:val="0"/>
      <w:divBdr>
        <w:top w:val="none" w:sz="0" w:space="0" w:color="auto"/>
        <w:left w:val="none" w:sz="0" w:space="0" w:color="auto"/>
        <w:bottom w:val="none" w:sz="0" w:space="0" w:color="auto"/>
        <w:right w:val="none" w:sz="0" w:space="0" w:color="auto"/>
      </w:divBdr>
    </w:div>
    <w:div w:id="992948496">
      <w:bodyDiv w:val="1"/>
      <w:marLeft w:val="0"/>
      <w:marRight w:val="0"/>
      <w:marTop w:val="0"/>
      <w:marBottom w:val="0"/>
      <w:divBdr>
        <w:top w:val="none" w:sz="0" w:space="0" w:color="auto"/>
        <w:left w:val="none" w:sz="0" w:space="0" w:color="auto"/>
        <w:bottom w:val="none" w:sz="0" w:space="0" w:color="auto"/>
        <w:right w:val="none" w:sz="0" w:space="0" w:color="auto"/>
      </w:divBdr>
    </w:div>
    <w:div w:id="1049693592">
      <w:bodyDiv w:val="1"/>
      <w:marLeft w:val="0"/>
      <w:marRight w:val="0"/>
      <w:marTop w:val="0"/>
      <w:marBottom w:val="0"/>
      <w:divBdr>
        <w:top w:val="none" w:sz="0" w:space="0" w:color="auto"/>
        <w:left w:val="none" w:sz="0" w:space="0" w:color="auto"/>
        <w:bottom w:val="none" w:sz="0" w:space="0" w:color="auto"/>
        <w:right w:val="none" w:sz="0" w:space="0" w:color="auto"/>
      </w:divBdr>
    </w:div>
    <w:div w:id="1067845879">
      <w:bodyDiv w:val="1"/>
      <w:marLeft w:val="0"/>
      <w:marRight w:val="0"/>
      <w:marTop w:val="0"/>
      <w:marBottom w:val="0"/>
      <w:divBdr>
        <w:top w:val="none" w:sz="0" w:space="0" w:color="auto"/>
        <w:left w:val="none" w:sz="0" w:space="0" w:color="auto"/>
        <w:bottom w:val="none" w:sz="0" w:space="0" w:color="auto"/>
        <w:right w:val="none" w:sz="0" w:space="0" w:color="auto"/>
      </w:divBdr>
    </w:div>
    <w:div w:id="1075470478">
      <w:bodyDiv w:val="1"/>
      <w:marLeft w:val="0"/>
      <w:marRight w:val="0"/>
      <w:marTop w:val="0"/>
      <w:marBottom w:val="0"/>
      <w:divBdr>
        <w:top w:val="none" w:sz="0" w:space="0" w:color="auto"/>
        <w:left w:val="none" w:sz="0" w:space="0" w:color="auto"/>
        <w:bottom w:val="none" w:sz="0" w:space="0" w:color="auto"/>
        <w:right w:val="none" w:sz="0" w:space="0" w:color="auto"/>
      </w:divBdr>
    </w:div>
    <w:div w:id="1080057999">
      <w:bodyDiv w:val="1"/>
      <w:marLeft w:val="0"/>
      <w:marRight w:val="0"/>
      <w:marTop w:val="0"/>
      <w:marBottom w:val="0"/>
      <w:divBdr>
        <w:top w:val="none" w:sz="0" w:space="0" w:color="auto"/>
        <w:left w:val="none" w:sz="0" w:space="0" w:color="auto"/>
        <w:bottom w:val="none" w:sz="0" w:space="0" w:color="auto"/>
        <w:right w:val="none" w:sz="0" w:space="0" w:color="auto"/>
      </w:divBdr>
    </w:div>
    <w:div w:id="1107701115">
      <w:bodyDiv w:val="1"/>
      <w:marLeft w:val="0"/>
      <w:marRight w:val="0"/>
      <w:marTop w:val="0"/>
      <w:marBottom w:val="0"/>
      <w:divBdr>
        <w:top w:val="none" w:sz="0" w:space="0" w:color="auto"/>
        <w:left w:val="none" w:sz="0" w:space="0" w:color="auto"/>
        <w:bottom w:val="none" w:sz="0" w:space="0" w:color="auto"/>
        <w:right w:val="none" w:sz="0" w:space="0" w:color="auto"/>
      </w:divBdr>
    </w:div>
    <w:div w:id="1138378771">
      <w:bodyDiv w:val="1"/>
      <w:marLeft w:val="0"/>
      <w:marRight w:val="0"/>
      <w:marTop w:val="0"/>
      <w:marBottom w:val="0"/>
      <w:divBdr>
        <w:top w:val="none" w:sz="0" w:space="0" w:color="auto"/>
        <w:left w:val="none" w:sz="0" w:space="0" w:color="auto"/>
        <w:bottom w:val="none" w:sz="0" w:space="0" w:color="auto"/>
        <w:right w:val="none" w:sz="0" w:space="0" w:color="auto"/>
      </w:divBdr>
    </w:div>
    <w:div w:id="1224679006">
      <w:bodyDiv w:val="1"/>
      <w:marLeft w:val="0"/>
      <w:marRight w:val="0"/>
      <w:marTop w:val="0"/>
      <w:marBottom w:val="0"/>
      <w:divBdr>
        <w:top w:val="none" w:sz="0" w:space="0" w:color="auto"/>
        <w:left w:val="none" w:sz="0" w:space="0" w:color="auto"/>
        <w:bottom w:val="none" w:sz="0" w:space="0" w:color="auto"/>
        <w:right w:val="none" w:sz="0" w:space="0" w:color="auto"/>
      </w:divBdr>
    </w:div>
    <w:div w:id="1249316101">
      <w:bodyDiv w:val="1"/>
      <w:marLeft w:val="0"/>
      <w:marRight w:val="0"/>
      <w:marTop w:val="0"/>
      <w:marBottom w:val="0"/>
      <w:divBdr>
        <w:top w:val="none" w:sz="0" w:space="0" w:color="auto"/>
        <w:left w:val="none" w:sz="0" w:space="0" w:color="auto"/>
        <w:bottom w:val="none" w:sz="0" w:space="0" w:color="auto"/>
        <w:right w:val="none" w:sz="0" w:space="0" w:color="auto"/>
      </w:divBdr>
    </w:div>
    <w:div w:id="1262765887">
      <w:bodyDiv w:val="1"/>
      <w:marLeft w:val="0"/>
      <w:marRight w:val="0"/>
      <w:marTop w:val="0"/>
      <w:marBottom w:val="0"/>
      <w:divBdr>
        <w:top w:val="none" w:sz="0" w:space="0" w:color="auto"/>
        <w:left w:val="none" w:sz="0" w:space="0" w:color="auto"/>
        <w:bottom w:val="none" w:sz="0" w:space="0" w:color="auto"/>
        <w:right w:val="none" w:sz="0" w:space="0" w:color="auto"/>
      </w:divBdr>
    </w:div>
    <w:div w:id="1273319741">
      <w:bodyDiv w:val="1"/>
      <w:marLeft w:val="0"/>
      <w:marRight w:val="0"/>
      <w:marTop w:val="0"/>
      <w:marBottom w:val="0"/>
      <w:divBdr>
        <w:top w:val="none" w:sz="0" w:space="0" w:color="auto"/>
        <w:left w:val="none" w:sz="0" w:space="0" w:color="auto"/>
        <w:bottom w:val="none" w:sz="0" w:space="0" w:color="auto"/>
        <w:right w:val="none" w:sz="0" w:space="0" w:color="auto"/>
      </w:divBdr>
    </w:div>
    <w:div w:id="1313409068">
      <w:bodyDiv w:val="1"/>
      <w:marLeft w:val="0"/>
      <w:marRight w:val="0"/>
      <w:marTop w:val="0"/>
      <w:marBottom w:val="0"/>
      <w:divBdr>
        <w:top w:val="none" w:sz="0" w:space="0" w:color="auto"/>
        <w:left w:val="none" w:sz="0" w:space="0" w:color="auto"/>
        <w:bottom w:val="none" w:sz="0" w:space="0" w:color="auto"/>
        <w:right w:val="none" w:sz="0" w:space="0" w:color="auto"/>
      </w:divBdr>
    </w:div>
    <w:div w:id="1358385025">
      <w:bodyDiv w:val="1"/>
      <w:marLeft w:val="0"/>
      <w:marRight w:val="0"/>
      <w:marTop w:val="0"/>
      <w:marBottom w:val="0"/>
      <w:divBdr>
        <w:top w:val="none" w:sz="0" w:space="0" w:color="auto"/>
        <w:left w:val="none" w:sz="0" w:space="0" w:color="auto"/>
        <w:bottom w:val="none" w:sz="0" w:space="0" w:color="auto"/>
        <w:right w:val="none" w:sz="0" w:space="0" w:color="auto"/>
      </w:divBdr>
    </w:div>
    <w:div w:id="1368529751">
      <w:bodyDiv w:val="1"/>
      <w:marLeft w:val="0"/>
      <w:marRight w:val="0"/>
      <w:marTop w:val="0"/>
      <w:marBottom w:val="0"/>
      <w:divBdr>
        <w:top w:val="none" w:sz="0" w:space="0" w:color="auto"/>
        <w:left w:val="none" w:sz="0" w:space="0" w:color="auto"/>
        <w:bottom w:val="none" w:sz="0" w:space="0" w:color="auto"/>
        <w:right w:val="none" w:sz="0" w:space="0" w:color="auto"/>
      </w:divBdr>
    </w:div>
    <w:div w:id="1376664620">
      <w:bodyDiv w:val="1"/>
      <w:marLeft w:val="0"/>
      <w:marRight w:val="0"/>
      <w:marTop w:val="0"/>
      <w:marBottom w:val="0"/>
      <w:divBdr>
        <w:top w:val="none" w:sz="0" w:space="0" w:color="auto"/>
        <w:left w:val="none" w:sz="0" w:space="0" w:color="auto"/>
        <w:bottom w:val="none" w:sz="0" w:space="0" w:color="auto"/>
        <w:right w:val="none" w:sz="0" w:space="0" w:color="auto"/>
      </w:divBdr>
    </w:div>
    <w:div w:id="1412386294">
      <w:bodyDiv w:val="1"/>
      <w:marLeft w:val="0"/>
      <w:marRight w:val="0"/>
      <w:marTop w:val="0"/>
      <w:marBottom w:val="0"/>
      <w:divBdr>
        <w:top w:val="none" w:sz="0" w:space="0" w:color="auto"/>
        <w:left w:val="none" w:sz="0" w:space="0" w:color="auto"/>
        <w:bottom w:val="none" w:sz="0" w:space="0" w:color="auto"/>
        <w:right w:val="none" w:sz="0" w:space="0" w:color="auto"/>
      </w:divBdr>
    </w:div>
    <w:div w:id="1412389412">
      <w:bodyDiv w:val="1"/>
      <w:marLeft w:val="0"/>
      <w:marRight w:val="0"/>
      <w:marTop w:val="0"/>
      <w:marBottom w:val="0"/>
      <w:divBdr>
        <w:top w:val="none" w:sz="0" w:space="0" w:color="auto"/>
        <w:left w:val="none" w:sz="0" w:space="0" w:color="auto"/>
        <w:bottom w:val="none" w:sz="0" w:space="0" w:color="auto"/>
        <w:right w:val="none" w:sz="0" w:space="0" w:color="auto"/>
      </w:divBdr>
    </w:div>
    <w:div w:id="1441952597">
      <w:bodyDiv w:val="1"/>
      <w:marLeft w:val="0"/>
      <w:marRight w:val="0"/>
      <w:marTop w:val="0"/>
      <w:marBottom w:val="0"/>
      <w:divBdr>
        <w:top w:val="none" w:sz="0" w:space="0" w:color="auto"/>
        <w:left w:val="none" w:sz="0" w:space="0" w:color="auto"/>
        <w:bottom w:val="none" w:sz="0" w:space="0" w:color="auto"/>
        <w:right w:val="none" w:sz="0" w:space="0" w:color="auto"/>
      </w:divBdr>
    </w:div>
    <w:div w:id="1519811328">
      <w:bodyDiv w:val="1"/>
      <w:marLeft w:val="0"/>
      <w:marRight w:val="0"/>
      <w:marTop w:val="0"/>
      <w:marBottom w:val="0"/>
      <w:divBdr>
        <w:top w:val="none" w:sz="0" w:space="0" w:color="auto"/>
        <w:left w:val="none" w:sz="0" w:space="0" w:color="auto"/>
        <w:bottom w:val="none" w:sz="0" w:space="0" w:color="auto"/>
        <w:right w:val="none" w:sz="0" w:space="0" w:color="auto"/>
      </w:divBdr>
    </w:div>
    <w:div w:id="1532182514">
      <w:bodyDiv w:val="1"/>
      <w:marLeft w:val="0"/>
      <w:marRight w:val="0"/>
      <w:marTop w:val="0"/>
      <w:marBottom w:val="0"/>
      <w:divBdr>
        <w:top w:val="none" w:sz="0" w:space="0" w:color="auto"/>
        <w:left w:val="none" w:sz="0" w:space="0" w:color="auto"/>
        <w:bottom w:val="none" w:sz="0" w:space="0" w:color="auto"/>
        <w:right w:val="none" w:sz="0" w:space="0" w:color="auto"/>
      </w:divBdr>
    </w:div>
    <w:div w:id="1535845892">
      <w:bodyDiv w:val="1"/>
      <w:marLeft w:val="0"/>
      <w:marRight w:val="0"/>
      <w:marTop w:val="0"/>
      <w:marBottom w:val="0"/>
      <w:divBdr>
        <w:top w:val="none" w:sz="0" w:space="0" w:color="auto"/>
        <w:left w:val="none" w:sz="0" w:space="0" w:color="auto"/>
        <w:bottom w:val="none" w:sz="0" w:space="0" w:color="auto"/>
        <w:right w:val="none" w:sz="0" w:space="0" w:color="auto"/>
      </w:divBdr>
    </w:div>
    <w:div w:id="1559705454">
      <w:bodyDiv w:val="1"/>
      <w:marLeft w:val="0"/>
      <w:marRight w:val="0"/>
      <w:marTop w:val="0"/>
      <w:marBottom w:val="0"/>
      <w:divBdr>
        <w:top w:val="none" w:sz="0" w:space="0" w:color="auto"/>
        <w:left w:val="none" w:sz="0" w:space="0" w:color="auto"/>
        <w:bottom w:val="none" w:sz="0" w:space="0" w:color="auto"/>
        <w:right w:val="none" w:sz="0" w:space="0" w:color="auto"/>
      </w:divBdr>
    </w:div>
    <w:div w:id="1603565404">
      <w:bodyDiv w:val="1"/>
      <w:marLeft w:val="0"/>
      <w:marRight w:val="0"/>
      <w:marTop w:val="0"/>
      <w:marBottom w:val="0"/>
      <w:divBdr>
        <w:top w:val="none" w:sz="0" w:space="0" w:color="auto"/>
        <w:left w:val="none" w:sz="0" w:space="0" w:color="auto"/>
        <w:bottom w:val="none" w:sz="0" w:space="0" w:color="auto"/>
        <w:right w:val="none" w:sz="0" w:space="0" w:color="auto"/>
      </w:divBdr>
    </w:div>
    <w:div w:id="1606888774">
      <w:bodyDiv w:val="1"/>
      <w:marLeft w:val="0"/>
      <w:marRight w:val="0"/>
      <w:marTop w:val="0"/>
      <w:marBottom w:val="0"/>
      <w:divBdr>
        <w:top w:val="none" w:sz="0" w:space="0" w:color="auto"/>
        <w:left w:val="none" w:sz="0" w:space="0" w:color="auto"/>
        <w:bottom w:val="none" w:sz="0" w:space="0" w:color="auto"/>
        <w:right w:val="none" w:sz="0" w:space="0" w:color="auto"/>
      </w:divBdr>
    </w:div>
    <w:div w:id="1608153812">
      <w:bodyDiv w:val="1"/>
      <w:marLeft w:val="0"/>
      <w:marRight w:val="0"/>
      <w:marTop w:val="0"/>
      <w:marBottom w:val="0"/>
      <w:divBdr>
        <w:top w:val="none" w:sz="0" w:space="0" w:color="auto"/>
        <w:left w:val="none" w:sz="0" w:space="0" w:color="auto"/>
        <w:bottom w:val="none" w:sz="0" w:space="0" w:color="auto"/>
        <w:right w:val="none" w:sz="0" w:space="0" w:color="auto"/>
      </w:divBdr>
    </w:div>
    <w:div w:id="1636637212">
      <w:bodyDiv w:val="1"/>
      <w:marLeft w:val="0"/>
      <w:marRight w:val="0"/>
      <w:marTop w:val="0"/>
      <w:marBottom w:val="0"/>
      <w:divBdr>
        <w:top w:val="none" w:sz="0" w:space="0" w:color="auto"/>
        <w:left w:val="none" w:sz="0" w:space="0" w:color="auto"/>
        <w:bottom w:val="none" w:sz="0" w:space="0" w:color="auto"/>
        <w:right w:val="none" w:sz="0" w:space="0" w:color="auto"/>
      </w:divBdr>
    </w:div>
    <w:div w:id="1642734158">
      <w:bodyDiv w:val="1"/>
      <w:marLeft w:val="0"/>
      <w:marRight w:val="0"/>
      <w:marTop w:val="0"/>
      <w:marBottom w:val="0"/>
      <w:divBdr>
        <w:top w:val="none" w:sz="0" w:space="0" w:color="auto"/>
        <w:left w:val="none" w:sz="0" w:space="0" w:color="auto"/>
        <w:bottom w:val="none" w:sz="0" w:space="0" w:color="auto"/>
        <w:right w:val="none" w:sz="0" w:space="0" w:color="auto"/>
      </w:divBdr>
    </w:div>
    <w:div w:id="1692411662">
      <w:bodyDiv w:val="1"/>
      <w:marLeft w:val="0"/>
      <w:marRight w:val="0"/>
      <w:marTop w:val="0"/>
      <w:marBottom w:val="0"/>
      <w:divBdr>
        <w:top w:val="none" w:sz="0" w:space="0" w:color="auto"/>
        <w:left w:val="none" w:sz="0" w:space="0" w:color="auto"/>
        <w:bottom w:val="none" w:sz="0" w:space="0" w:color="auto"/>
        <w:right w:val="none" w:sz="0" w:space="0" w:color="auto"/>
      </w:divBdr>
    </w:div>
    <w:div w:id="1693262526">
      <w:bodyDiv w:val="1"/>
      <w:marLeft w:val="0"/>
      <w:marRight w:val="0"/>
      <w:marTop w:val="0"/>
      <w:marBottom w:val="0"/>
      <w:divBdr>
        <w:top w:val="none" w:sz="0" w:space="0" w:color="auto"/>
        <w:left w:val="none" w:sz="0" w:space="0" w:color="auto"/>
        <w:bottom w:val="none" w:sz="0" w:space="0" w:color="auto"/>
        <w:right w:val="none" w:sz="0" w:space="0" w:color="auto"/>
      </w:divBdr>
    </w:div>
    <w:div w:id="1697389405">
      <w:bodyDiv w:val="1"/>
      <w:marLeft w:val="0"/>
      <w:marRight w:val="0"/>
      <w:marTop w:val="0"/>
      <w:marBottom w:val="0"/>
      <w:divBdr>
        <w:top w:val="none" w:sz="0" w:space="0" w:color="auto"/>
        <w:left w:val="none" w:sz="0" w:space="0" w:color="auto"/>
        <w:bottom w:val="none" w:sz="0" w:space="0" w:color="auto"/>
        <w:right w:val="none" w:sz="0" w:space="0" w:color="auto"/>
      </w:divBdr>
    </w:div>
    <w:div w:id="1714042545">
      <w:bodyDiv w:val="1"/>
      <w:marLeft w:val="0"/>
      <w:marRight w:val="0"/>
      <w:marTop w:val="0"/>
      <w:marBottom w:val="0"/>
      <w:divBdr>
        <w:top w:val="none" w:sz="0" w:space="0" w:color="auto"/>
        <w:left w:val="none" w:sz="0" w:space="0" w:color="auto"/>
        <w:bottom w:val="none" w:sz="0" w:space="0" w:color="auto"/>
        <w:right w:val="none" w:sz="0" w:space="0" w:color="auto"/>
      </w:divBdr>
    </w:div>
    <w:div w:id="1716155482">
      <w:bodyDiv w:val="1"/>
      <w:marLeft w:val="0"/>
      <w:marRight w:val="0"/>
      <w:marTop w:val="0"/>
      <w:marBottom w:val="0"/>
      <w:divBdr>
        <w:top w:val="none" w:sz="0" w:space="0" w:color="auto"/>
        <w:left w:val="none" w:sz="0" w:space="0" w:color="auto"/>
        <w:bottom w:val="none" w:sz="0" w:space="0" w:color="auto"/>
        <w:right w:val="none" w:sz="0" w:space="0" w:color="auto"/>
      </w:divBdr>
    </w:div>
    <w:div w:id="1719087674">
      <w:bodyDiv w:val="1"/>
      <w:marLeft w:val="0"/>
      <w:marRight w:val="0"/>
      <w:marTop w:val="0"/>
      <w:marBottom w:val="0"/>
      <w:divBdr>
        <w:top w:val="none" w:sz="0" w:space="0" w:color="auto"/>
        <w:left w:val="none" w:sz="0" w:space="0" w:color="auto"/>
        <w:bottom w:val="none" w:sz="0" w:space="0" w:color="auto"/>
        <w:right w:val="none" w:sz="0" w:space="0" w:color="auto"/>
      </w:divBdr>
    </w:div>
    <w:div w:id="1759599206">
      <w:bodyDiv w:val="1"/>
      <w:marLeft w:val="0"/>
      <w:marRight w:val="0"/>
      <w:marTop w:val="0"/>
      <w:marBottom w:val="0"/>
      <w:divBdr>
        <w:top w:val="none" w:sz="0" w:space="0" w:color="auto"/>
        <w:left w:val="none" w:sz="0" w:space="0" w:color="auto"/>
        <w:bottom w:val="none" w:sz="0" w:space="0" w:color="auto"/>
        <w:right w:val="none" w:sz="0" w:space="0" w:color="auto"/>
      </w:divBdr>
    </w:div>
    <w:div w:id="1760563025">
      <w:bodyDiv w:val="1"/>
      <w:marLeft w:val="0"/>
      <w:marRight w:val="0"/>
      <w:marTop w:val="0"/>
      <w:marBottom w:val="0"/>
      <w:divBdr>
        <w:top w:val="none" w:sz="0" w:space="0" w:color="auto"/>
        <w:left w:val="none" w:sz="0" w:space="0" w:color="auto"/>
        <w:bottom w:val="none" w:sz="0" w:space="0" w:color="auto"/>
        <w:right w:val="none" w:sz="0" w:space="0" w:color="auto"/>
      </w:divBdr>
    </w:div>
    <w:div w:id="1787848232">
      <w:bodyDiv w:val="1"/>
      <w:marLeft w:val="0"/>
      <w:marRight w:val="0"/>
      <w:marTop w:val="0"/>
      <w:marBottom w:val="0"/>
      <w:divBdr>
        <w:top w:val="none" w:sz="0" w:space="0" w:color="auto"/>
        <w:left w:val="none" w:sz="0" w:space="0" w:color="auto"/>
        <w:bottom w:val="none" w:sz="0" w:space="0" w:color="auto"/>
        <w:right w:val="none" w:sz="0" w:space="0" w:color="auto"/>
      </w:divBdr>
    </w:div>
    <w:div w:id="1827889692">
      <w:bodyDiv w:val="1"/>
      <w:marLeft w:val="0"/>
      <w:marRight w:val="0"/>
      <w:marTop w:val="0"/>
      <w:marBottom w:val="0"/>
      <w:divBdr>
        <w:top w:val="none" w:sz="0" w:space="0" w:color="auto"/>
        <w:left w:val="none" w:sz="0" w:space="0" w:color="auto"/>
        <w:bottom w:val="none" w:sz="0" w:space="0" w:color="auto"/>
        <w:right w:val="none" w:sz="0" w:space="0" w:color="auto"/>
      </w:divBdr>
    </w:div>
    <w:div w:id="1845431696">
      <w:bodyDiv w:val="1"/>
      <w:marLeft w:val="0"/>
      <w:marRight w:val="0"/>
      <w:marTop w:val="0"/>
      <w:marBottom w:val="0"/>
      <w:divBdr>
        <w:top w:val="none" w:sz="0" w:space="0" w:color="auto"/>
        <w:left w:val="none" w:sz="0" w:space="0" w:color="auto"/>
        <w:bottom w:val="none" w:sz="0" w:space="0" w:color="auto"/>
        <w:right w:val="none" w:sz="0" w:space="0" w:color="auto"/>
      </w:divBdr>
    </w:div>
    <w:div w:id="1856118597">
      <w:bodyDiv w:val="1"/>
      <w:marLeft w:val="0"/>
      <w:marRight w:val="0"/>
      <w:marTop w:val="0"/>
      <w:marBottom w:val="0"/>
      <w:divBdr>
        <w:top w:val="none" w:sz="0" w:space="0" w:color="auto"/>
        <w:left w:val="none" w:sz="0" w:space="0" w:color="auto"/>
        <w:bottom w:val="none" w:sz="0" w:space="0" w:color="auto"/>
        <w:right w:val="none" w:sz="0" w:space="0" w:color="auto"/>
      </w:divBdr>
    </w:div>
    <w:div w:id="1905334013">
      <w:bodyDiv w:val="1"/>
      <w:marLeft w:val="0"/>
      <w:marRight w:val="0"/>
      <w:marTop w:val="0"/>
      <w:marBottom w:val="0"/>
      <w:divBdr>
        <w:top w:val="none" w:sz="0" w:space="0" w:color="auto"/>
        <w:left w:val="none" w:sz="0" w:space="0" w:color="auto"/>
        <w:bottom w:val="none" w:sz="0" w:space="0" w:color="auto"/>
        <w:right w:val="none" w:sz="0" w:space="0" w:color="auto"/>
      </w:divBdr>
    </w:div>
    <w:div w:id="2010063500">
      <w:bodyDiv w:val="1"/>
      <w:marLeft w:val="0"/>
      <w:marRight w:val="0"/>
      <w:marTop w:val="0"/>
      <w:marBottom w:val="0"/>
      <w:divBdr>
        <w:top w:val="none" w:sz="0" w:space="0" w:color="auto"/>
        <w:left w:val="none" w:sz="0" w:space="0" w:color="auto"/>
        <w:bottom w:val="none" w:sz="0" w:space="0" w:color="auto"/>
        <w:right w:val="none" w:sz="0" w:space="0" w:color="auto"/>
      </w:divBdr>
    </w:div>
    <w:div w:id="2053575741">
      <w:bodyDiv w:val="1"/>
      <w:marLeft w:val="0"/>
      <w:marRight w:val="0"/>
      <w:marTop w:val="0"/>
      <w:marBottom w:val="0"/>
      <w:divBdr>
        <w:top w:val="none" w:sz="0" w:space="0" w:color="auto"/>
        <w:left w:val="none" w:sz="0" w:space="0" w:color="auto"/>
        <w:bottom w:val="none" w:sz="0" w:space="0" w:color="auto"/>
        <w:right w:val="none" w:sz="0" w:space="0" w:color="auto"/>
      </w:divBdr>
    </w:div>
    <w:div w:id="2063824650">
      <w:bodyDiv w:val="1"/>
      <w:marLeft w:val="0"/>
      <w:marRight w:val="0"/>
      <w:marTop w:val="0"/>
      <w:marBottom w:val="0"/>
      <w:divBdr>
        <w:top w:val="none" w:sz="0" w:space="0" w:color="auto"/>
        <w:left w:val="none" w:sz="0" w:space="0" w:color="auto"/>
        <w:bottom w:val="none" w:sz="0" w:space="0" w:color="auto"/>
        <w:right w:val="none" w:sz="0" w:space="0" w:color="auto"/>
      </w:divBdr>
    </w:div>
    <w:div w:id="2090617900">
      <w:bodyDiv w:val="1"/>
      <w:marLeft w:val="0"/>
      <w:marRight w:val="0"/>
      <w:marTop w:val="0"/>
      <w:marBottom w:val="0"/>
      <w:divBdr>
        <w:top w:val="none" w:sz="0" w:space="0" w:color="auto"/>
        <w:left w:val="none" w:sz="0" w:space="0" w:color="auto"/>
        <w:bottom w:val="none" w:sz="0" w:space="0" w:color="auto"/>
        <w:right w:val="none" w:sz="0" w:space="0" w:color="auto"/>
      </w:divBdr>
    </w:div>
    <w:div w:id="2104295478">
      <w:bodyDiv w:val="1"/>
      <w:marLeft w:val="0"/>
      <w:marRight w:val="0"/>
      <w:marTop w:val="0"/>
      <w:marBottom w:val="0"/>
      <w:divBdr>
        <w:top w:val="none" w:sz="0" w:space="0" w:color="auto"/>
        <w:left w:val="none" w:sz="0" w:space="0" w:color="auto"/>
        <w:bottom w:val="none" w:sz="0" w:space="0" w:color="auto"/>
        <w:right w:val="none" w:sz="0" w:space="0" w:color="auto"/>
      </w:divBdr>
    </w:div>
    <w:div w:id="2141459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climatescreeningtools.worldbank.org/useful-resources/agriculture" TargetMode="External"/><Relationship Id="rId2" Type="http://schemas.openxmlformats.org/officeDocument/2006/relationships/hyperlink" Target="https://www.fao.org/land-water/land/land-governance/land-resources-planning-toolbox/category/details/en/c/1026347/" TargetMode="External"/><Relationship Id="rId1" Type="http://schemas.openxmlformats.org/officeDocument/2006/relationships/hyperlink" Target="https://earthobservatory.nasa.gov/features/MeasuringVegetation/measuring_vegetation_2.php" TargetMode="External"/><Relationship Id="rId4" Type="http://schemas.openxmlformats.org/officeDocument/2006/relationships/hyperlink" Target="https://abc-map.org/documents/ABC-Map_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88985-7E05-AC47-BD72-20FBDD358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4042</Words>
  <Characters>23041</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Alejandro Enciso Piza</dc:creator>
  <cp:lastModifiedBy>Pedro Alejandro Enciso Piza</cp:lastModifiedBy>
  <cp:revision>2</cp:revision>
  <dcterms:created xsi:type="dcterms:W3CDTF">2024-10-07T15:47:00Z</dcterms:created>
  <dcterms:modified xsi:type="dcterms:W3CDTF">2024-10-07T15:47:00Z</dcterms:modified>
</cp:coreProperties>
</file>